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1E968" w14:textId="77777777" w:rsidR="0066566E" w:rsidRDefault="0066566E"/>
    <w:p w14:paraId="402810B1" w14:textId="77777777" w:rsidR="0066566E" w:rsidRDefault="0066566E"/>
    <w:p w14:paraId="34EA3AFB" w14:textId="77777777" w:rsidR="0066566E" w:rsidRDefault="0066566E"/>
    <w:p w14:paraId="39FFCEC1" w14:textId="77777777" w:rsidR="0066566E" w:rsidRDefault="0066566E"/>
    <w:p w14:paraId="4525BED2" w14:textId="77777777" w:rsidR="0066566E" w:rsidRDefault="0066566E"/>
    <w:p w14:paraId="761AB45C" w14:textId="77777777" w:rsidR="0066566E" w:rsidRDefault="0066566E"/>
    <w:p w14:paraId="28B9E5AB" w14:textId="77777777" w:rsidR="0066566E" w:rsidRDefault="0066566E"/>
    <w:p w14:paraId="3E759014" w14:textId="77777777" w:rsidR="0066566E" w:rsidRDefault="0066566E"/>
    <w:p w14:paraId="0E59517C" w14:textId="43093F4D" w:rsidR="0066566E" w:rsidRDefault="00873406" w:rsidP="0066566E">
      <w:pPr>
        <w:jc w:val="center"/>
      </w:pPr>
      <w:r>
        <w:t xml:space="preserve">Cast Study Week 5 </w:t>
      </w:r>
    </w:p>
    <w:p w14:paraId="40B0C99B" w14:textId="77777777" w:rsidR="0066566E" w:rsidRDefault="0066566E"/>
    <w:p w14:paraId="19F685DB" w14:textId="77777777" w:rsidR="0066566E" w:rsidRDefault="0066566E"/>
    <w:p w14:paraId="5D11868A" w14:textId="77777777" w:rsidR="0066566E" w:rsidRDefault="0066566E"/>
    <w:p w14:paraId="6F7BC7B6" w14:textId="77777777" w:rsidR="0066566E" w:rsidRDefault="0066566E"/>
    <w:p w14:paraId="51B53C86" w14:textId="77777777" w:rsidR="0066566E" w:rsidRDefault="0066566E"/>
    <w:p w14:paraId="140E7A74" w14:textId="77777777" w:rsidR="0066566E" w:rsidRDefault="0066566E"/>
    <w:p w14:paraId="6423CD19" w14:textId="77777777" w:rsidR="0066566E" w:rsidRDefault="0066566E"/>
    <w:p w14:paraId="6D8EDF1A" w14:textId="77777777" w:rsidR="0066566E" w:rsidRDefault="0066566E"/>
    <w:p w14:paraId="537E7565" w14:textId="77777777" w:rsidR="0066566E" w:rsidRDefault="0066566E"/>
    <w:p w14:paraId="531C2808" w14:textId="77777777" w:rsidR="0066566E" w:rsidRDefault="0066566E"/>
    <w:p w14:paraId="69A07EAF" w14:textId="77777777" w:rsidR="0066566E" w:rsidRDefault="0066566E"/>
    <w:p w14:paraId="357F6E48" w14:textId="77777777" w:rsidR="0066566E" w:rsidRDefault="0066566E"/>
    <w:p w14:paraId="1A3374D9" w14:textId="77777777" w:rsidR="0066566E" w:rsidRDefault="0066566E"/>
    <w:p w14:paraId="4EF970AD" w14:textId="77777777" w:rsidR="0066566E" w:rsidRDefault="0066566E"/>
    <w:p w14:paraId="751E391B" w14:textId="77777777" w:rsidR="0066566E" w:rsidRDefault="0066566E"/>
    <w:p w14:paraId="3FCB9065" w14:textId="77777777" w:rsidR="0066566E" w:rsidRDefault="0066566E"/>
    <w:p w14:paraId="6AEEF98D" w14:textId="77777777" w:rsidR="0066566E" w:rsidRDefault="0066566E"/>
    <w:p w14:paraId="301979C7" w14:textId="77777777" w:rsidR="0066566E" w:rsidRDefault="0066566E"/>
    <w:p w14:paraId="29441D74" w14:textId="77777777" w:rsidR="0066566E" w:rsidRDefault="0066566E"/>
    <w:p w14:paraId="51999A4C" w14:textId="0CC127A9" w:rsidR="0066566E" w:rsidRDefault="0066566E"/>
    <w:p w14:paraId="3B85FBB8" w14:textId="77777777" w:rsidR="00B66EB2" w:rsidRDefault="00B66EB2" w:rsidP="00190FF0">
      <w:pPr>
        <w:spacing w:line="480" w:lineRule="auto"/>
        <w:ind w:firstLine="720"/>
        <w:rPr>
          <w:rFonts w:cs="Times New Roman"/>
          <w:b/>
          <w:bCs/>
          <w:szCs w:val="24"/>
          <w:u w:val="single"/>
          <w:shd w:val="clear" w:color="auto" w:fill="F8F9FA"/>
        </w:rPr>
      </w:pPr>
    </w:p>
    <w:p w14:paraId="605BFD77" w14:textId="018DE48F" w:rsidR="00190FF0" w:rsidRPr="00022FB3" w:rsidRDefault="00190FF0" w:rsidP="00190FF0">
      <w:pPr>
        <w:spacing w:line="480" w:lineRule="auto"/>
        <w:ind w:firstLine="720"/>
        <w:rPr>
          <w:rFonts w:cs="Times New Roman"/>
          <w:b/>
          <w:bCs/>
          <w:szCs w:val="24"/>
          <w:u w:val="single"/>
          <w:shd w:val="clear" w:color="auto" w:fill="F8F9FA"/>
        </w:rPr>
      </w:pPr>
      <w:bookmarkStart w:id="0" w:name="_GoBack"/>
      <w:bookmarkEnd w:id="0"/>
      <w:r w:rsidRPr="00022FB3">
        <w:rPr>
          <w:rFonts w:cs="Times New Roman"/>
          <w:b/>
          <w:bCs/>
          <w:szCs w:val="24"/>
          <w:u w:val="single"/>
          <w:shd w:val="clear" w:color="auto" w:fill="F8F9FA"/>
        </w:rPr>
        <w:lastRenderedPageBreak/>
        <w:t>Introduction</w:t>
      </w:r>
    </w:p>
    <w:p w14:paraId="44179CB7" w14:textId="77777777" w:rsidR="00190FF0" w:rsidRDefault="00190FF0" w:rsidP="00190FF0">
      <w:pPr>
        <w:spacing w:line="480" w:lineRule="auto"/>
        <w:ind w:firstLine="720"/>
        <w:rPr>
          <w:rFonts w:cs="Times New Roman"/>
          <w:szCs w:val="24"/>
          <w:shd w:val="clear" w:color="auto" w:fill="F8F9FA"/>
          <w:lang w:val="en-GB"/>
        </w:rPr>
      </w:pPr>
      <w:r w:rsidRPr="00951265">
        <w:rPr>
          <w:rFonts w:cs="Times New Roman"/>
          <w:szCs w:val="24"/>
          <w:shd w:val="clear" w:color="auto" w:fill="F8F9FA"/>
        </w:rPr>
        <w:t>Unemployment is a term referring to individuals who are employable and seeking a job but are unable to find a job. Furthermore, it is those people in the workforce or pool of people who are available for work that does not have an appropriate job. Usually measured by the unemployment rate, which is dividing the number of unemployed people by the total number of people in the workforce, unemployment serves as one of the </w:t>
      </w:r>
      <w:hyperlink r:id="rId7" w:history="1">
        <w:r w:rsidRPr="00951265">
          <w:rPr>
            <w:rStyle w:val="Hyperlink"/>
            <w:rFonts w:cs="Times New Roman"/>
            <w:color w:val="auto"/>
            <w:szCs w:val="24"/>
            <w:u w:val="none"/>
          </w:rPr>
          <w:t>indicators</w:t>
        </w:r>
      </w:hyperlink>
      <w:r w:rsidRPr="00951265">
        <w:rPr>
          <w:rFonts w:cs="Times New Roman"/>
          <w:szCs w:val="24"/>
          <w:shd w:val="clear" w:color="auto" w:fill="F8F9FA"/>
        </w:rPr>
        <w:t> of an economy’s statu</w:t>
      </w:r>
      <w:r w:rsidRPr="00951265">
        <w:rPr>
          <w:rFonts w:cs="Times New Roman"/>
          <w:szCs w:val="24"/>
          <w:shd w:val="clear" w:color="auto" w:fill="F8F9FA"/>
          <w:lang w:val="en-GB"/>
        </w:rPr>
        <w:t>s.</w:t>
      </w:r>
    </w:p>
    <w:p w14:paraId="58E3F431" w14:textId="7A470132" w:rsidR="00190FF0" w:rsidRPr="00022FB3" w:rsidRDefault="00190FF0" w:rsidP="00190FF0">
      <w:pPr>
        <w:spacing w:line="480" w:lineRule="auto"/>
        <w:ind w:firstLine="720"/>
        <w:rPr>
          <w:rFonts w:cs="Times New Roman"/>
          <w:color w:val="333333"/>
          <w:sz w:val="21"/>
          <w:szCs w:val="21"/>
          <w:shd w:val="clear" w:color="auto" w:fill="F8F9F7"/>
        </w:rPr>
      </w:pPr>
      <w:r w:rsidRPr="00951265">
        <w:rPr>
          <w:rFonts w:cs="Times New Roman"/>
          <w:szCs w:val="24"/>
          <w:shd w:val="clear" w:color="auto" w:fill="FFFFFF"/>
        </w:rPr>
        <w:t>Unemployment is defined by the </w:t>
      </w:r>
      <w:hyperlink r:id="rId8" w:history="1">
        <w:r w:rsidRPr="00951265">
          <w:rPr>
            <w:rStyle w:val="Hyperlink"/>
            <w:rFonts w:cs="Times New Roman"/>
            <w:color w:val="auto"/>
            <w:szCs w:val="24"/>
            <w:u w:val="none"/>
            <w:shd w:val="clear" w:color="auto" w:fill="FFFFFF"/>
          </w:rPr>
          <w:t xml:space="preserve">Bureau of </w:t>
        </w:r>
        <w:r w:rsidRPr="00190FF0">
          <w:rPr>
            <w:rStyle w:val="Hyperlink"/>
            <w:rFonts w:cs="Times New Roman"/>
            <w:color w:val="auto"/>
            <w:szCs w:val="24"/>
            <w:u w:val="none"/>
            <w:shd w:val="clear" w:color="auto" w:fill="FFFFFF"/>
          </w:rPr>
          <w:t xml:space="preserve">Labour </w:t>
        </w:r>
        <w:r w:rsidRPr="00951265">
          <w:rPr>
            <w:rStyle w:val="Hyperlink"/>
            <w:rFonts w:cs="Times New Roman"/>
            <w:color w:val="auto"/>
            <w:szCs w:val="24"/>
            <w:u w:val="none"/>
            <w:shd w:val="clear" w:color="auto" w:fill="FFFFFF"/>
          </w:rPr>
          <w:t>Statistics</w:t>
        </w:r>
      </w:hyperlink>
      <w:r w:rsidRPr="00951265">
        <w:rPr>
          <w:rFonts w:cs="Times New Roman"/>
          <w:szCs w:val="24"/>
          <w:shd w:val="clear" w:color="auto" w:fill="FFFFFF"/>
        </w:rPr>
        <w:t> as people who do not have a job, have actively looked for work in the past four weeks, and are currently available for work. Also, people who were temporarily laid off and were waiting to be called back to that job are included in the </w:t>
      </w:r>
      <w:hyperlink r:id="rId9" w:history="1">
        <w:r w:rsidRPr="00951265">
          <w:rPr>
            <w:rStyle w:val="Hyperlink"/>
            <w:rFonts w:cs="Times New Roman"/>
            <w:color w:val="auto"/>
            <w:szCs w:val="24"/>
            <w:u w:val="none"/>
            <w:shd w:val="clear" w:color="auto" w:fill="FFFFFF"/>
          </w:rPr>
          <w:t>unemployment statistics</w:t>
        </w:r>
      </w:hyperlink>
      <w:r>
        <w:rPr>
          <w:rFonts w:cs="Times New Roman"/>
          <w:szCs w:val="24"/>
        </w:rPr>
        <w:t xml:space="preserve"> (</w:t>
      </w:r>
      <w:r w:rsidRPr="00022FB3">
        <w:rPr>
          <w:rFonts w:cs="Times New Roman"/>
          <w:color w:val="333333"/>
          <w:szCs w:val="24"/>
          <w:shd w:val="clear" w:color="auto" w:fill="F8F9F7"/>
        </w:rPr>
        <w:t>Bureau of Labour Statistics, U.S. Department of Labour, </w:t>
      </w:r>
      <w:r w:rsidRPr="00022FB3">
        <w:rPr>
          <w:rStyle w:val="Emphasis"/>
          <w:rFonts w:cs="Times New Roman"/>
          <w:color w:val="333333"/>
          <w:szCs w:val="24"/>
          <w:shd w:val="clear" w:color="auto" w:fill="F8F9F7"/>
        </w:rPr>
        <w:t>The Economics Daily</w:t>
      </w:r>
      <w:r w:rsidRPr="00022FB3">
        <w:rPr>
          <w:rFonts w:cs="Times New Roman"/>
          <w:color w:val="333333"/>
          <w:szCs w:val="24"/>
          <w:shd w:val="clear" w:color="auto" w:fill="F8F9F7"/>
        </w:rPr>
        <w:t>, Long-term data on unemployment</w:t>
      </w:r>
      <w:r>
        <w:rPr>
          <w:rFonts w:cs="Times New Roman"/>
          <w:color w:val="333333"/>
          <w:sz w:val="21"/>
          <w:szCs w:val="21"/>
          <w:shd w:val="clear" w:color="auto" w:fill="F8F9F7"/>
        </w:rPr>
        <w:t>).</w:t>
      </w:r>
    </w:p>
    <w:p w14:paraId="3C1BE23A" w14:textId="77777777" w:rsidR="00190FF0" w:rsidRDefault="00190FF0" w:rsidP="00190FF0">
      <w:pPr>
        <w:spacing w:line="480" w:lineRule="auto"/>
        <w:ind w:firstLine="720"/>
        <w:rPr>
          <w:rFonts w:cs="Times New Roman"/>
          <w:szCs w:val="24"/>
          <w:shd w:val="clear" w:color="auto" w:fill="FFFFFF"/>
        </w:rPr>
      </w:pPr>
      <w:r w:rsidRPr="00951265">
        <w:rPr>
          <w:rFonts w:cs="Times New Roman"/>
          <w:szCs w:val="24"/>
          <w:shd w:val="clear" w:color="auto" w:fill="FFFFFF"/>
        </w:rPr>
        <w:t>.</w:t>
      </w:r>
    </w:p>
    <w:p w14:paraId="14C2B087" w14:textId="77777777" w:rsidR="00190FF0" w:rsidRDefault="00190FF0" w:rsidP="00190FF0">
      <w:pPr>
        <w:spacing w:line="480" w:lineRule="auto"/>
        <w:ind w:firstLine="720"/>
        <w:rPr>
          <w:rFonts w:cs="Times New Roman"/>
          <w:szCs w:val="24"/>
          <w:lang w:val="en-GB"/>
        </w:rPr>
      </w:pPr>
      <w:r>
        <w:rPr>
          <w:rFonts w:cs="Times New Roman"/>
          <w:szCs w:val="24"/>
          <w:lang w:val="en-GB"/>
        </w:rPr>
        <w:t>Economists define inflation as the general increase in prices and fall in the purchasing value of money. It is measured by consumer price index (CPI).</w:t>
      </w:r>
    </w:p>
    <w:p w14:paraId="0BFADC46" w14:textId="77777777" w:rsidR="00190FF0" w:rsidRDefault="00190FF0" w:rsidP="00190FF0">
      <w:pPr>
        <w:spacing w:line="480" w:lineRule="auto"/>
        <w:ind w:firstLine="720"/>
        <w:rPr>
          <w:rFonts w:cs="Times New Roman"/>
          <w:color w:val="222222"/>
          <w:szCs w:val="24"/>
          <w:shd w:val="clear" w:color="auto" w:fill="FFFFFF"/>
        </w:rPr>
      </w:pPr>
      <w:r w:rsidRPr="00951265">
        <w:rPr>
          <w:rFonts w:cs="Times New Roman"/>
          <w:color w:val="222222"/>
          <w:szCs w:val="24"/>
          <w:shd w:val="clear" w:color="auto" w:fill="FFFFFF"/>
        </w:rPr>
        <w:t>High unemployment indicates the economy is operating below full capacity and is inefficient; this will lead to lower output and incomes. The unemployed are also unable to purchase as many goods, so will contribute to lower spending and lower output.</w:t>
      </w:r>
    </w:p>
    <w:p w14:paraId="31E129DF" w14:textId="77777777" w:rsidR="00190FF0" w:rsidRDefault="00190FF0" w:rsidP="00190FF0">
      <w:pPr>
        <w:spacing w:line="480" w:lineRule="auto"/>
        <w:ind w:firstLine="720"/>
        <w:rPr>
          <w:rFonts w:cs="Times New Roman"/>
          <w:color w:val="222222"/>
          <w:szCs w:val="24"/>
          <w:shd w:val="clear" w:color="auto" w:fill="FFFFFF"/>
        </w:rPr>
      </w:pPr>
      <w:r w:rsidRPr="00985341">
        <w:rPr>
          <w:rFonts w:cs="Times New Roman"/>
          <w:color w:val="222222"/>
          <w:szCs w:val="24"/>
          <w:shd w:val="clear" w:color="auto" w:fill="FFFFFF"/>
        </w:rPr>
        <w:t>One version of Okun's law has stated very simply that when unemployment falls by 1%, GNP rises by 3%. Another version of Okun's law focuses on a relationship between unemployment and GDP, whereby a percentage increase in unemployment causes a 2% fall in GDP.</w:t>
      </w:r>
      <w:r>
        <w:rPr>
          <w:rFonts w:cs="Times New Roman"/>
          <w:color w:val="222222"/>
          <w:szCs w:val="24"/>
          <w:shd w:val="clear" w:color="auto" w:fill="FFFFFF"/>
        </w:rPr>
        <w:t xml:space="preserve"> Therefore, increase in unemployment leads to a significant decrease in GDP and the vice versa is true.</w:t>
      </w:r>
    </w:p>
    <w:p w14:paraId="26100B95" w14:textId="77777777" w:rsidR="00190FF0" w:rsidRDefault="00190FF0" w:rsidP="00190FF0">
      <w:pPr>
        <w:spacing w:line="480" w:lineRule="auto"/>
        <w:ind w:firstLine="720"/>
        <w:rPr>
          <w:rFonts w:cs="Times New Roman"/>
          <w:color w:val="222222"/>
          <w:szCs w:val="24"/>
          <w:shd w:val="clear" w:color="auto" w:fill="FFFFFF"/>
        </w:rPr>
      </w:pPr>
      <w:r w:rsidRPr="00985341">
        <w:rPr>
          <w:rFonts w:cs="Times New Roman"/>
          <w:color w:val="222222"/>
          <w:szCs w:val="24"/>
          <w:shd w:val="clear" w:color="auto" w:fill="FFFFFF"/>
        </w:rPr>
        <w:lastRenderedPageBreak/>
        <w:t>Over time, the growth in GDP causes inflation, and inflation begets hyperinflation</w:t>
      </w:r>
      <w:r>
        <w:rPr>
          <w:rFonts w:cs="Times New Roman"/>
          <w:color w:val="222222"/>
          <w:szCs w:val="24"/>
          <w:shd w:val="clear" w:color="auto" w:fill="FFFFFF"/>
        </w:rPr>
        <w:t>.</w:t>
      </w:r>
      <w:r w:rsidRPr="00985341">
        <w:rPr>
          <w:rFonts w:cs="Times New Roman"/>
          <w:color w:val="222222"/>
          <w:szCs w:val="24"/>
          <w:shd w:val="clear" w:color="auto" w:fill="FFFFFF"/>
        </w:rPr>
        <w:t xml:space="preserve"> This causes further increases in GDP in the short term, bringing about further price increases. Also, the effects of inflation are not linear; 10% inflation is much more than twice as harmful as 5% inflation.</w:t>
      </w:r>
      <w:r>
        <w:rPr>
          <w:rFonts w:cs="Times New Roman"/>
          <w:color w:val="222222"/>
          <w:szCs w:val="24"/>
          <w:shd w:val="clear" w:color="auto" w:fill="FFFFFF"/>
        </w:rPr>
        <w:t xml:space="preserve"> Although in the short run, inflation might seem to have a positive impact on the GDP, in the long run it is so harmful. It is also not known the threshold level of inflation which might bring about a sustainable economic growth leading to growth in GDP.</w:t>
      </w:r>
    </w:p>
    <w:p w14:paraId="5099161D" w14:textId="77777777" w:rsidR="00190FF0" w:rsidRDefault="00190FF0" w:rsidP="00190FF0">
      <w:pPr>
        <w:spacing w:line="480" w:lineRule="auto"/>
        <w:ind w:firstLine="720"/>
        <w:rPr>
          <w:rFonts w:cs="Times New Roman"/>
          <w:color w:val="222222"/>
          <w:szCs w:val="24"/>
          <w:shd w:val="clear" w:color="auto" w:fill="FFFFFF"/>
        </w:rPr>
      </w:pPr>
      <w:r>
        <w:rPr>
          <w:rFonts w:cs="Times New Roman"/>
          <w:color w:val="222222"/>
          <w:szCs w:val="24"/>
          <w:shd w:val="clear" w:color="auto" w:fill="FFFFFF"/>
        </w:rPr>
        <w:t>High Wages leads to increased demand, more production which means GDP growth is assured. However, on the other hand, when wages fall, demand also decreases and thus GDP also decreases.</w:t>
      </w:r>
    </w:p>
    <w:p w14:paraId="1BF23F36" w14:textId="77777777" w:rsidR="00190FF0" w:rsidRPr="00F77A8C" w:rsidRDefault="00190FF0" w:rsidP="00190FF0">
      <w:pPr>
        <w:shd w:val="clear" w:color="auto" w:fill="FFFFFF"/>
        <w:spacing w:before="100" w:beforeAutospacing="1" w:after="100" w:afterAutospacing="1" w:line="480" w:lineRule="auto"/>
        <w:ind w:left="30" w:firstLine="720"/>
        <w:rPr>
          <w:rFonts w:eastAsia="Times New Roman" w:cs="Times New Roman"/>
          <w:color w:val="0000EE"/>
          <w:spacing w:val="17"/>
          <w:szCs w:val="24"/>
          <w:vertAlign w:val="superscript"/>
        </w:rPr>
      </w:pPr>
      <w:r w:rsidRPr="00F77A8C">
        <w:rPr>
          <w:rFonts w:eastAsia="Times New Roman" w:cs="Times New Roman"/>
          <w:color w:val="222222"/>
          <w:szCs w:val="24"/>
        </w:rPr>
        <w:t>In January 2020, the </w:t>
      </w:r>
      <w:hyperlink r:id="rId10" w:history="1">
        <w:r w:rsidRPr="00F77A8C">
          <w:rPr>
            <w:rFonts w:eastAsia="Times New Roman" w:cs="Times New Roman"/>
            <w:szCs w:val="24"/>
          </w:rPr>
          <w:t>unemployment rate</w:t>
        </w:r>
      </w:hyperlink>
      <w:r w:rsidRPr="00F77A8C">
        <w:rPr>
          <w:rFonts w:eastAsia="Times New Roman" w:cs="Times New Roman"/>
          <w:color w:val="222222"/>
          <w:szCs w:val="24"/>
        </w:rPr>
        <w:t> was 3.6%</w:t>
      </w:r>
      <w:r>
        <w:rPr>
          <w:rFonts w:eastAsia="Times New Roman" w:cs="Times New Roman"/>
          <w:color w:val="222222"/>
          <w:szCs w:val="24"/>
        </w:rPr>
        <w:t xml:space="preserve"> according US unemployment rate Statistics and News.</w:t>
      </w:r>
    </w:p>
    <w:p w14:paraId="376FCAF1" w14:textId="77777777" w:rsidR="00190FF0" w:rsidRPr="00F77A8C" w:rsidRDefault="00190FF0" w:rsidP="00190FF0">
      <w:pPr>
        <w:shd w:val="clear" w:color="auto" w:fill="FFFFFF"/>
        <w:spacing w:after="0" w:line="480" w:lineRule="auto"/>
        <w:ind w:firstLine="720"/>
        <w:rPr>
          <w:rFonts w:eastAsia="Times New Roman" w:cs="Times New Roman"/>
          <w:szCs w:val="24"/>
        </w:rPr>
      </w:pPr>
      <w:r w:rsidRPr="00F77A8C">
        <w:rPr>
          <w:rFonts w:ascii="Tahoma" w:eastAsia="Times New Roman" w:hAnsi="Tahoma" w:cs="Tahoma"/>
          <w:color w:val="222222"/>
          <w:szCs w:val="24"/>
        </w:rPr>
        <w:t>﻿</w:t>
      </w:r>
      <w:r w:rsidRPr="00F77A8C">
        <w:rPr>
          <w:rFonts w:eastAsia="Times New Roman" w:cs="Times New Roman"/>
          <w:color w:val="222222"/>
          <w:szCs w:val="24"/>
        </w:rPr>
        <w:t xml:space="preserve"> That's slightly higher than December's 3.5% rate, the lowest </w:t>
      </w:r>
      <w:hyperlink r:id="rId11" w:tgtFrame="_blank" w:history="1">
        <w:r w:rsidRPr="00F77A8C">
          <w:rPr>
            <w:rFonts w:eastAsia="Times New Roman" w:cs="Times New Roman"/>
            <w:szCs w:val="24"/>
          </w:rPr>
          <w:t>since December 1969</w:t>
        </w:r>
      </w:hyperlink>
      <w:r w:rsidRPr="00F77A8C">
        <w:rPr>
          <w:rFonts w:eastAsia="Times New Roman" w:cs="Times New Roman"/>
          <w:szCs w:val="24"/>
        </w:rPr>
        <w:t>.</w:t>
      </w:r>
    </w:p>
    <w:p w14:paraId="56C94E99" w14:textId="77777777" w:rsidR="00190FF0" w:rsidRDefault="00190FF0" w:rsidP="00190FF0">
      <w:pPr>
        <w:shd w:val="clear" w:color="auto" w:fill="FFFFFF"/>
        <w:spacing w:before="100" w:beforeAutospacing="1" w:after="100" w:afterAutospacing="1" w:line="480" w:lineRule="auto"/>
        <w:ind w:firstLine="720"/>
        <w:rPr>
          <w:rFonts w:ascii="Arial" w:eastAsia="Times New Roman" w:hAnsi="Arial" w:cs="Arial"/>
          <w:color w:val="222222"/>
          <w:sz w:val="26"/>
          <w:szCs w:val="26"/>
        </w:rPr>
      </w:pPr>
      <w:r w:rsidRPr="00F77A8C">
        <w:rPr>
          <w:rFonts w:eastAsia="Times New Roman" w:cs="Times New Roman"/>
          <w:color w:val="222222"/>
          <w:szCs w:val="24"/>
        </w:rPr>
        <w:t>The January rate is at the 3.5% to 4.5% </w:t>
      </w:r>
      <w:hyperlink r:id="rId12" w:history="1">
        <w:r w:rsidRPr="00F77A8C">
          <w:rPr>
            <w:rFonts w:eastAsia="Times New Roman" w:cs="Times New Roman"/>
            <w:szCs w:val="24"/>
          </w:rPr>
          <w:t>natural rate of unemployment</w:t>
        </w:r>
      </w:hyperlink>
      <w:r w:rsidRPr="00F77A8C">
        <w:rPr>
          <w:rFonts w:eastAsia="Times New Roman" w:cs="Times New Roman"/>
          <w:szCs w:val="24"/>
        </w:rPr>
        <w:t>.</w:t>
      </w:r>
      <w:r w:rsidRPr="00F77A8C">
        <w:rPr>
          <w:rFonts w:eastAsia="Times New Roman" w:cs="Times New Roman"/>
          <w:color w:val="222222"/>
          <w:szCs w:val="24"/>
        </w:rPr>
        <w:t xml:space="preserve"> If unemployment is less than the natural rate, businesses can</w:t>
      </w:r>
      <w:r>
        <w:rPr>
          <w:rFonts w:eastAsia="Times New Roman" w:cs="Times New Roman"/>
          <w:color w:val="222222"/>
          <w:szCs w:val="24"/>
        </w:rPr>
        <w:t xml:space="preserve"> not</w:t>
      </w:r>
      <w:r w:rsidRPr="00F77A8C">
        <w:rPr>
          <w:rFonts w:eastAsia="Times New Roman" w:cs="Times New Roman"/>
          <w:color w:val="222222"/>
          <w:szCs w:val="24"/>
        </w:rPr>
        <w:t xml:space="preserve"> find enough workers to keep operating at full capacity. That could slow economic growth</w:t>
      </w:r>
      <w:r w:rsidRPr="00F77A8C">
        <w:rPr>
          <w:rFonts w:ascii="Arial" w:eastAsia="Times New Roman" w:hAnsi="Arial" w:cs="Arial"/>
          <w:color w:val="222222"/>
          <w:sz w:val="26"/>
          <w:szCs w:val="26"/>
        </w:rPr>
        <w:t>.</w:t>
      </w:r>
    </w:p>
    <w:p w14:paraId="03D935A0" w14:textId="77777777" w:rsidR="00190FF0" w:rsidRDefault="00190FF0" w:rsidP="00190FF0">
      <w:pPr>
        <w:shd w:val="clear" w:color="auto" w:fill="FFFFFF"/>
        <w:spacing w:before="100" w:beforeAutospacing="1" w:after="100" w:afterAutospacing="1" w:line="480" w:lineRule="auto"/>
        <w:ind w:firstLine="720"/>
        <w:rPr>
          <w:rFonts w:cs="Times New Roman"/>
          <w:szCs w:val="24"/>
          <w:shd w:val="clear" w:color="auto" w:fill="FFFFFF"/>
        </w:rPr>
      </w:pPr>
      <w:r w:rsidRPr="00D73198">
        <w:rPr>
          <w:rFonts w:cs="Times New Roman"/>
          <w:szCs w:val="24"/>
          <w:shd w:val="clear" w:color="auto" w:fill="FFFFFF"/>
        </w:rPr>
        <w:t>During 2019 the annual inflation rate hovered between a low of 1.52% in February and 2.00% (which occurred in April). But the range was much smaller. From May through October the high was 1.81% in July and the low was 1.65% in June. Using the single decimal place calculations of the Bureau of Labour Statistics it is difficult to see the difference between July through October. Since the BLS says they are 1.8%, 1.8%, 1.7%, 1.8%. By looking at the two-digit results however we see 1.81%, 1.75%, 1.71% and 1.76%. So rather than a 0.1% increase from September to October we see that it was half that at 0.05%.</w:t>
      </w:r>
      <w:r>
        <w:rPr>
          <w:rFonts w:cs="Times New Roman"/>
          <w:szCs w:val="24"/>
          <w:shd w:val="clear" w:color="auto" w:fill="FFFFFF"/>
        </w:rPr>
        <w:t xml:space="preserve"> (according to US Statistics and News)</w:t>
      </w:r>
    </w:p>
    <w:p w14:paraId="3EEB0022" w14:textId="77777777" w:rsidR="00190FF0" w:rsidRDefault="00190FF0" w:rsidP="00190FF0">
      <w:pPr>
        <w:shd w:val="clear" w:color="auto" w:fill="FFFFFF"/>
        <w:spacing w:before="100" w:beforeAutospacing="1" w:after="100" w:afterAutospacing="1" w:line="480" w:lineRule="auto"/>
        <w:ind w:firstLine="720"/>
        <w:rPr>
          <w:rFonts w:cs="Times New Roman"/>
          <w:szCs w:val="24"/>
          <w:shd w:val="clear" w:color="auto" w:fill="FFFFFF"/>
        </w:rPr>
      </w:pPr>
      <w:r>
        <w:rPr>
          <w:rFonts w:cs="Times New Roman"/>
          <w:szCs w:val="24"/>
          <w:shd w:val="clear" w:color="auto" w:fill="FFFFFF"/>
        </w:rPr>
        <w:lastRenderedPageBreak/>
        <w:t>Issues related to unemployment are many. This paper will focus on the two listed ones;</w:t>
      </w:r>
    </w:p>
    <w:p w14:paraId="5870FD5B" w14:textId="77777777" w:rsidR="00190FF0" w:rsidRPr="00477388" w:rsidRDefault="00190FF0" w:rsidP="00190FF0">
      <w:pPr>
        <w:pStyle w:val="ListParagraph"/>
        <w:numPr>
          <w:ilvl w:val="0"/>
          <w:numId w:val="3"/>
        </w:numPr>
        <w:shd w:val="clear" w:color="auto" w:fill="FFFFFF"/>
        <w:spacing w:before="100" w:beforeAutospacing="1" w:after="100" w:afterAutospacing="1" w:line="480" w:lineRule="auto"/>
        <w:ind w:firstLine="720"/>
        <w:rPr>
          <w:rFonts w:eastAsia="Times New Roman" w:cs="Times New Roman"/>
          <w:b/>
          <w:bCs/>
          <w:szCs w:val="24"/>
        </w:rPr>
      </w:pPr>
      <w:r w:rsidRPr="00477388">
        <w:rPr>
          <w:rFonts w:eastAsia="Times New Roman" w:cs="Times New Roman"/>
          <w:b/>
          <w:bCs/>
          <w:szCs w:val="24"/>
        </w:rPr>
        <w:t>Does the unemployment consider the individuals who have low paying jobs?</w:t>
      </w:r>
    </w:p>
    <w:p w14:paraId="01B46035" w14:textId="77777777" w:rsidR="00190FF0" w:rsidRPr="00965F0D" w:rsidRDefault="00190FF0" w:rsidP="00190FF0">
      <w:pPr>
        <w:spacing w:line="480" w:lineRule="auto"/>
        <w:ind w:firstLine="720"/>
        <w:rPr>
          <w:rFonts w:cs="Times New Roman"/>
          <w:szCs w:val="24"/>
          <w:shd w:val="clear" w:color="auto" w:fill="FFFFFF"/>
        </w:rPr>
      </w:pPr>
      <w:r w:rsidRPr="00965F0D">
        <w:rPr>
          <w:rFonts w:cs="Times New Roman"/>
          <w:shd w:val="clear" w:color="auto" w:fill="FFFFFF"/>
        </w:rPr>
        <w:t>Many people who can’t find jobs that match their skill level are forced to take jobs with low wages. These underemployed people make up a large part of the workforce.</w:t>
      </w:r>
      <w:r w:rsidRPr="00965F0D">
        <w:rPr>
          <w:rFonts w:ascii="Arial" w:hAnsi="Arial" w:cs="Arial"/>
          <w:shd w:val="clear" w:color="auto" w:fill="FFFFFF"/>
        </w:rPr>
        <w:t xml:space="preserve">  </w:t>
      </w:r>
      <w:r w:rsidRPr="00965F0D">
        <w:rPr>
          <w:rFonts w:cs="Times New Roman"/>
          <w:szCs w:val="24"/>
          <w:shd w:val="clear" w:color="auto" w:fill="FFFFFF"/>
        </w:rPr>
        <w:t>But the official unemployment rate (also known as the U-3 measure) does</w:t>
      </w:r>
      <w:r>
        <w:rPr>
          <w:rFonts w:cs="Times New Roman"/>
          <w:szCs w:val="24"/>
          <w:shd w:val="clear" w:color="auto" w:fill="FFFFFF"/>
        </w:rPr>
        <w:t xml:space="preserve"> </w:t>
      </w:r>
      <w:r w:rsidRPr="00965F0D">
        <w:rPr>
          <w:rFonts w:cs="Times New Roman"/>
          <w:szCs w:val="24"/>
          <w:shd w:val="clear" w:color="auto" w:fill="FFFFFF"/>
        </w:rPr>
        <w:t>n</w:t>
      </w:r>
      <w:r>
        <w:rPr>
          <w:rFonts w:cs="Times New Roman"/>
          <w:szCs w:val="24"/>
          <w:shd w:val="clear" w:color="auto" w:fill="FFFFFF"/>
        </w:rPr>
        <w:t>o</w:t>
      </w:r>
      <w:r w:rsidRPr="00965F0D">
        <w:rPr>
          <w:rFonts w:cs="Times New Roman"/>
          <w:szCs w:val="24"/>
          <w:shd w:val="clear" w:color="auto" w:fill="FFFFFF"/>
        </w:rPr>
        <w:t>t acknowledge them.</w:t>
      </w:r>
    </w:p>
    <w:p w14:paraId="7FDB840D" w14:textId="77777777" w:rsidR="00190FF0" w:rsidRPr="00965F0D" w:rsidRDefault="00190FF0" w:rsidP="00190FF0">
      <w:pPr>
        <w:spacing w:line="480" w:lineRule="auto"/>
        <w:ind w:firstLine="720"/>
        <w:rPr>
          <w:rFonts w:cs="Times New Roman"/>
          <w:szCs w:val="24"/>
          <w:shd w:val="clear" w:color="auto" w:fill="FFFFFF"/>
        </w:rPr>
      </w:pPr>
      <w:r w:rsidRPr="00965F0D">
        <w:rPr>
          <w:rFonts w:cs="Times New Roman"/>
          <w:szCs w:val="24"/>
          <w:shd w:val="clear" w:color="auto" w:fill="FFFFFF"/>
        </w:rPr>
        <w:t>Without addressing the issue of underemployment, the unemployment rate paints a distorted picture of where the labour market stands. Having too many workers who are unhappy with their jobs or who are not reaching their full potential could ultimately be problematic. Paying off debt or </w:t>
      </w:r>
      <w:hyperlink r:id="rId13" w:history="1">
        <w:r w:rsidRPr="00965F0D">
          <w:rPr>
            <w:rStyle w:val="Hyperlink"/>
            <w:rFonts w:cs="Times New Roman"/>
            <w:color w:val="auto"/>
            <w:szCs w:val="24"/>
            <w:u w:val="none"/>
            <w:shd w:val="clear" w:color="auto" w:fill="FFFFFF"/>
          </w:rPr>
          <w:t>saving for retirement</w:t>
        </w:r>
      </w:hyperlink>
      <w:r w:rsidRPr="00965F0D">
        <w:rPr>
          <w:rFonts w:cs="Times New Roman"/>
          <w:szCs w:val="24"/>
          <w:shd w:val="clear" w:color="auto" w:fill="FFFFFF"/>
        </w:rPr>
        <w:t> can be challenging for a worker with an underpaid, part-time job. Dissatisfaction with work can also lead workers to be less productive.</w:t>
      </w:r>
    </w:p>
    <w:p w14:paraId="2365ECC6" w14:textId="77777777" w:rsidR="00190FF0" w:rsidRDefault="00190FF0" w:rsidP="00190FF0">
      <w:pPr>
        <w:pStyle w:val="ListParagraph"/>
        <w:numPr>
          <w:ilvl w:val="0"/>
          <w:numId w:val="3"/>
        </w:numPr>
        <w:spacing w:line="480" w:lineRule="auto"/>
        <w:ind w:firstLine="720"/>
        <w:rPr>
          <w:rFonts w:cs="Times New Roman"/>
          <w:b/>
          <w:bCs/>
          <w:szCs w:val="24"/>
        </w:rPr>
      </w:pPr>
      <w:r w:rsidRPr="00477388">
        <w:rPr>
          <w:rFonts w:cs="Times New Roman"/>
          <w:b/>
          <w:bCs/>
          <w:szCs w:val="24"/>
        </w:rPr>
        <w:t>Does it capture long term unemployment rates?</w:t>
      </w:r>
    </w:p>
    <w:p w14:paraId="183930B0" w14:textId="77777777" w:rsidR="00190FF0" w:rsidRDefault="00190FF0" w:rsidP="00190FF0">
      <w:pPr>
        <w:spacing w:line="480" w:lineRule="auto"/>
        <w:ind w:firstLine="720"/>
        <w:rPr>
          <w:rFonts w:cs="Times New Roman"/>
          <w:szCs w:val="24"/>
          <w:shd w:val="clear" w:color="auto" w:fill="FFFFFF"/>
        </w:rPr>
      </w:pPr>
      <w:r w:rsidRPr="00477388">
        <w:rPr>
          <w:rFonts w:cs="Times New Roman"/>
          <w:szCs w:val="24"/>
          <w:shd w:val="clear" w:color="auto" w:fill="FFFFFF"/>
        </w:rPr>
        <w:t>Anyone who hasn’t been working for at least 27 weeks is long-term unemployed. Millions of Americans fall into this category. But the unemployment rate doesn’t consider how long people haven’t had jobs.</w:t>
      </w:r>
    </w:p>
    <w:p w14:paraId="650D91B9" w14:textId="77777777" w:rsidR="00190FF0" w:rsidRPr="00F83660" w:rsidRDefault="00190FF0" w:rsidP="00190FF0">
      <w:pPr>
        <w:spacing w:line="480" w:lineRule="auto"/>
        <w:ind w:firstLine="720"/>
        <w:rPr>
          <w:rFonts w:cs="Times New Roman"/>
          <w:szCs w:val="24"/>
          <w:shd w:val="clear" w:color="auto" w:fill="FFFFFF"/>
        </w:rPr>
      </w:pPr>
      <w:r w:rsidRPr="00F83660">
        <w:rPr>
          <w:rFonts w:cs="Times New Roman"/>
          <w:szCs w:val="24"/>
          <w:shd w:val="clear" w:color="auto" w:fill="FFFFFF"/>
        </w:rPr>
        <w:t>Failing to focus on folks who’ve been out of work for a while can make it difficult to create policies that help them. A </w:t>
      </w:r>
      <w:hyperlink r:id="rId14" w:tgtFrame="_blank" w:history="1">
        <w:r w:rsidRPr="00F83660">
          <w:rPr>
            <w:rStyle w:val="Hyperlink"/>
            <w:rFonts w:cs="Times New Roman"/>
            <w:color w:val="auto"/>
            <w:szCs w:val="24"/>
            <w:u w:val="none"/>
            <w:shd w:val="clear" w:color="auto" w:fill="FFFFFF"/>
          </w:rPr>
          <w:t>report</w:t>
        </w:r>
      </w:hyperlink>
      <w:r w:rsidRPr="00F83660">
        <w:rPr>
          <w:rFonts w:cs="Times New Roman"/>
          <w:szCs w:val="24"/>
          <w:shd w:val="clear" w:color="auto" w:fill="FFFFFF"/>
        </w:rPr>
        <w:t> from the BLS says that the long-term unemployment has recently declined. But from a historical perspective, it’s not as low as it could be</w:t>
      </w:r>
      <w:r w:rsidRPr="00F83660">
        <w:rPr>
          <w:rFonts w:ascii="Arial" w:hAnsi="Arial" w:cs="Arial"/>
          <w:shd w:val="clear" w:color="auto" w:fill="FFFFFF"/>
        </w:rPr>
        <w:t>.</w:t>
      </w:r>
    </w:p>
    <w:p w14:paraId="549C527A" w14:textId="77777777" w:rsidR="00190FF0" w:rsidRPr="00F83660" w:rsidRDefault="00190FF0" w:rsidP="00190FF0">
      <w:pPr>
        <w:spacing w:line="480" w:lineRule="auto"/>
        <w:ind w:firstLine="720"/>
        <w:rPr>
          <w:rFonts w:cs="Times New Roman"/>
          <w:b/>
          <w:bCs/>
          <w:szCs w:val="24"/>
        </w:rPr>
      </w:pPr>
      <w:r w:rsidRPr="00F83660">
        <w:rPr>
          <w:rFonts w:cs="Times New Roman"/>
          <w:szCs w:val="24"/>
          <w:shd w:val="clear" w:color="auto" w:fill="FFFFFF"/>
        </w:rPr>
        <w:t>These two are vital as when they are studied, they will exhibit a clear picture of the unemployment scenario.</w:t>
      </w:r>
    </w:p>
    <w:p w14:paraId="0C14FE38" w14:textId="77777777" w:rsidR="00190FF0" w:rsidRPr="00F83660" w:rsidRDefault="00190FF0" w:rsidP="00190FF0">
      <w:pPr>
        <w:pStyle w:val="NormalWeb"/>
        <w:shd w:val="clear" w:color="auto" w:fill="FFFFFF"/>
        <w:spacing w:line="480" w:lineRule="auto"/>
        <w:ind w:firstLine="720"/>
      </w:pPr>
      <w:r w:rsidRPr="00F83660">
        <w:lastRenderedPageBreak/>
        <w:t>The unemployment rate isn’t an accurate measure of joblessness simply because it doesn’t consider everyone who doesn’t have a job. That’s why many economic experts instead focus on what’s known as the real unemployment rate.</w:t>
      </w:r>
    </w:p>
    <w:p w14:paraId="1C697367" w14:textId="77777777" w:rsidR="00190FF0" w:rsidRDefault="00190FF0" w:rsidP="00190FF0">
      <w:pPr>
        <w:pStyle w:val="NormalWeb"/>
        <w:shd w:val="clear" w:color="auto" w:fill="FFFFFF"/>
        <w:spacing w:line="480" w:lineRule="auto"/>
        <w:ind w:firstLine="720"/>
      </w:pPr>
      <w:r w:rsidRPr="00F83660">
        <w:t>The real unemployment rate (technically called the U-6 measure) is reported on a monthly basis in the </w:t>
      </w:r>
      <w:hyperlink r:id="rId15" w:history="1">
        <w:r w:rsidRPr="00F83660">
          <w:rPr>
            <w:rStyle w:val="Hyperlink"/>
            <w:color w:val="auto"/>
            <w:u w:val="none"/>
          </w:rPr>
          <w:t>jobs report</w:t>
        </w:r>
      </w:hyperlink>
      <w:r w:rsidRPr="00F83660">
        <w:t> along with the official unemployment rate and four other measures of unemployment. Unlike the official unemployment rate, however, it takes underemployed and marginally attached workers (including discouraged workers) into consideration as well as unemployed people.</w:t>
      </w:r>
    </w:p>
    <w:tbl>
      <w:tblPr>
        <w:tblW w:w="9026" w:type="dxa"/>
        <w:tblLook w:val="04A0" w:firstRow="1" w:lastRow="0" w:firstColumn="1" w:lastColumn="0" w:noHBand="0" w:noVBand="1"/>
      </w:tblPr>
      <w:tblGrid>
        <w:gridCol w:w="6316"/>
        <w:gridCol w:w="451"/>
        <w:gridCol w:w="451"/>
        <w:gridCol w:w="452"/>
        <w:gridCol w:w="452"/>
        <w:gridCol w:w="452"/>
        <w:gridCol w:w="452"/>
      </w:tblGrid>
      <w:tr w:rsidR="00190FF0" w:rsidRPr="008D45A5" w14:paraId="6D339F5D" w14:textId="77777777" w:rsidTr="0033092C">
        <w:trPr>
          <w:trHeight w:val="630"/>
        </w:trPr>
        <w:tc>
          <w:tcPr>
            <w:tcW w:w="5668" w:type="dxa"/>
            <w:tcBorders>
              <w:top w:val="nil"/>
              <w:left w:val="nil"/>
              <w:bottom w:val="nil"/>
              <w:right w:val="nil"/>
            </w:tcBorders>
            <w:shd w:val="clear" w:color="auto" w:fill="auto"/>
            <w:vAlign w:val="bottom"/>
          </w:tcPr>
          <w:tbl>
            <w:tblPr>
              <w:tblW w:w="8004" w:type="dxa"/>
              <w:tblLook w:val="04A0" w:firstRow="1" w:lastRow="0" w:firstColumn="1" w:lastColumn="0" w:noHBand="0" w:noVBand="1"/>
            </w:tblPr>
            <w:tblGrid>
              <w:gridCol w:w="1241"/>
              <w:gridCol w:w="809"/>
              <w:gridCol w:w="808"/>
              <w:gridCol w:w="808"/>
              <w:gridCol w:w="808"/>
              <w:gridCol w:w="808"/>
              <w:gridCol w:w="808"/>
            </w:tblGrid>
            <w:tr w:rsidR="00190FF0" w:rsidRPr="00F83660" w14:paraId="04894F0E" w14:textId="77777777" w:rsidTr="0033092C">
              <w:trPr>
                <w:trHeight w:val="315"/>
              </w:trPr>
              <w:tc>
                <w:tcPr>
                  <w:tcW w:w="15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7CEDB8" w14:textId="77777777" w:rsidR="00190FF0" w:rsidRPr="00F83660" w:rsidRDefault="00190FF0" w:rsidP="0033092C">
                  <w:pPr>
                    <w:spacing w:after="0" w:line="240" w:lineRule="auto"/>
                    <w:rPr>
                      <w:rFonts w:eastAsia="Times New Roman" w:cs="Times New Roman"/>
                      <w:color w:val="000000"/>
                      <w:szCs w:val="24"/>
                    </w:rPr>
                  </w:pPr>
                  <w:r w:rsidRPr="00F83660">
                    <w:rPr>
                      <w:rFonts w:eastAsia="Times New Roman" w:cs="Times New Roman"/>
                      <w:color w:val="000000"/>
                      <w:szCs w:val="24"/>
                    </w:rPr>
                    <w:t>Year</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7B86145"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2000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7785B1A"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2002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7F4BAF69"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2004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5954D7A"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2006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BC9FE64"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2008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F30F73B"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2010</w:t>
                  </w:r>
                </w:p>
              </w:tc>
            </w:tr>
            <w:tr w:rsidR="00190FF0" w:rsidRPr="00F83660" w14:paraId="353EC652" w14:textId="77777777" w:rsidTr="0033092C">
              <w:trPr>
                <w:trHeight w:val="630"/>
              </w:trPr>
              <w:tc>
                <w:tcPr>
                  <w:tcW w:w="1524" w:type="dxa"/>
                  <w:tcBorders>
                    <w:top w:val="nil"/>
                    <w:left w:val="single" w:sz="4" w:space="0" w:color="auto"/>
                    <w:bottom w:val="single" w:sz="4" w:space="0" w:color="auto"/>
                    <w:right w:val="single" w:sz="4" w:space="0" w:color="auto"/>
                  </w:tcBorders>
                  <w:shd w:val="clear" w:color="auto" w:fill="auto"/>
                  <w:vAlign w:val="bottom"/>
                  <w:hideMark/>
                </w:tcPr>
                <w:p w14:paraId="22AA7D8A" w14:textId="77777777" w:rsidR="00190FF0" w:rsidRPr="00F83660" w:rsidRDefault="00190FF0" w:rsidP="0033092C">
                  <w:pPr>
                    <w:spacing w:after="0" w:line="240" w:lineRule="auto"/>
                    <w:rPr>
                      <w:rFonts w:eastAsia="Times New Roman" w:cs="Times New Roman"/>
                      <w:color w:val="000000"/>
                      <w:szCs w:val="24"/>
                    </w:rPr>
                  </w:pPr>
                  <w:r w:rsidRPr="00F83660">
                    <w:rPr>
                      <w:rFonts w:eastAsia="Times New Roman" w:cs="Times New Roman"/>
                      <w:color w:val="000000"/>
                      <w:szCs w:val="24"/>
                    </w:rPr>
                    <w:t>Unemployment Rate</w:t>
                  </w:r>
                </w:p>
              </w:tc>
              <w:tc>
                <w:tcPr>
                  <w:tcW w:w="1080" w:type="dxa"/>
                  <w:tcBorders>
                    <w:top w:val="nil"/>
                    <w:left w:val="nil"/>
                    <w:bottom w:val="single" w:sz="4" w:space="0" w:color="auto"/>
                    <w:right w:val="single" w:sz="4" w:space="0" w:color="auto"/>
                  </w:tcBorders>
                  <w:shd w:val="clear" w:color="auto" w:fill="auto"/>
                  <w:noWrap/>
                  <w:vAlign w:val="bottom"/>
                  <w:hideMark/>
                </w:tcPr>
                <w:p w14:paraId="019EEC7B"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3.9</w:t>
                  </w:r>
                </w:p>
              </w:tc>
              <w:tc>
                <w:tcPr>
                  <w:tcW w:w="1080" w:type="dxa"/>
                  <w:tcBorders>
                    <w:top w:val="nil"/>
                    <w:left w:val="nil"/>
                    <w:bottom w:val="single" w:sz="4" w:space="0" w:color="auto"/>
                    <w:right w:val="single" w:sz="4" w:space="0" w:color="auto"/>
                  </w:tcBorders>
                  <w:shd w:val="clear" w:color="auto" w:fill="auto"/>
                  <w:noWrap/>
                  <w:vAlign w:val="bottom"/>
                  <w:hideMark/>
                </w:tcPr>
                <w:p w14:paraId="48E2D9E3"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6</w:t>
                  </w:r>
                </w:p>
              </w:tc>
              <w:tc>
                <w:tcPr>
                  <w:tcW w:w="1080" w:type="dxa"/>
                  <w:tcBorders>
                    <w:top w:val="nil"/>
                    <w:left w:val="nil"/>
                    <w:bottom w:val="single" w:sz="4" w:space="0" w:color="auto"/>
                    <w:right w:val="single" w:sz="4" w:space="0" w:color="auto"/>
                  </w:tcBorders>
                  <w:shd w:val="clear" w:color="auto" w:fill="auto"/>
                  <w:noWrap/>
                  <w:vAlign w:val="bottom"/>
                  <w:hideMark/>
                </w:tcPr>
                <w:p w14:paraId="41CDC3F0"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5.4</w:t>
                  </w:r>
                </w:p>
              </w:tc>
              <w:tc>
                <w:tcPr>
                  <w:tcW w:w="1080" w:type="dxa"/>
                  <w:tcBorders>
                    <w:top w:val="nil"/>
                    <w:left w:val="nil"/>
                    <w:bottom w:val="single" w:sz="4" w:space="0" w:color="auto"/>
                    <w:right w:val="single" w:sz="4" w:space="0" w:color="auto"/>
                  </w:tcBorders>
                  <w:shd w:val="clear" w:color="auto" w:fill="auto"/>
                  <w:noWrap/>
                  <w:vAlign w:val="bottom"/>
                  <w:hideMark/>
                </w:tcPr>
                <w:p w14:paraId="0DE2B7C4"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4.4</w:t>
                  </w:r>
                </w:p>
              </w:tc>
              <w:tc>
                <w:tcPr>
                  <w:tcW w:w="1080" w:type="dxa"/>
                  <w:tcBorders>
                    <w:top w:val="nil"/>
                    <w:left w:val="nil"/>
                    <w:bottom w:val="single" w:sz="4" w:space="0" w:color="auto"/>
                    <w:right w:val="single" w:sz="4" w:space="0" w:color="auto"/>
                  </w:tcBorders>
                  <w:shd w:val="clear" w:color="auto" w:fill="auto"/>
                  <w:noWrap/>
                  <w:vAlign w:val="bottom"/>
                  <w:hideMark/>
                </w:tcPr>
                <w:p w14:paraId="4DB08B0E"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7.3</w:t>
                  </w:r>
                </w:p>
              </w:tc>
              <w:tc>
                <w:tcPr>
                  <w:tcW w:w="1080" w:type="dxa"/>
                  <w:tcBorders>
                    <w:top w:val="nil"/>
                    <w:left w:val="nil"/>
                    <w:bottom w:val="single" w:sz="4" w:space="0" w:color="auto"/>
                    <w:right w:val="single" w:sz="4" w:space="0" w:color="auto"/>
                  </w:tcBorders>
                  <w:shd w:val="clear" w:color="auto" w:fill="auto"/>
                  <w:noWrap/>
                  <w:vAlign w:val="bottom"/>
                  <w:hideMark/>
                </w:tcPr>
                <w:p w14:paraId="08D3826A"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9.3</w:t>
                  </w:r>
                </w:p>
              </w:tc>
            </w:tr>
            <w:tr w:rsidR="00190FF0" w:rsidRPr="00F83660" w14:paraId="75D465FC" w14:textId="77777777" w:rsidTr="0033092C">
              <w:trPr>
                <w:trHeight w:val="315"/>
              </w:trPr>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444AF8E7" w14:textId="77777777" w:rsidR="00190FF0" w:rsidRPr="00F83660" w:rsidRDefault="00190FF0" w:rsidP="0033092C">
                  <w:pPr>
                    <w:spacing w:after="0" w:line="240" w:lineRule="auto"/>
                    <w:rPr>
                      <w:rFonts w:eastAsia="Times New Roman" w:cs="Times New Roman"/>
                      <w:color w:val="000000"/>
                      <w:szCs w:val="24"/>
                    </w:rPr>
                  </w:pPr>
                  <w:r w:rsidRPr="00F83660">
                    <w:rPr>
                      <w:rFonts w:eastAsia="Times New Roman" w:cs="Times New Roman"/>
                      <w:color w:val="000000"/>
                      <w:szCs w:val="24"/>
                    </w:rPr>
                    <w:t>Inflation</w:t>
                  </w:r>
                </w:p>
              </w:tc>
              <w:tc>
                <w:tcPr>
                  <w:tcW w:w="1080" w:type="dxa"/>
                  <w:tcBorders>
                    <w:top w:val="nil"/>
                    <w:left w:val="nil"/>
                    <w:bottom w:val="single" w:sz="4" w:space="0" w:color="auto"/>
                    <w:right w:val="single" w:sz="4" w:space="0" w:color="auto"/>
                  </w:tcBorders>
                  <w:shd w:val="clear" w:color="auto" w:fill="auto"/>
                  <w:noWrap/>
                  <w:vAlign w:val="bottom"/>
                  <w:hideMark/>
                </w:tcPr>
                <w:p w14:paraId="0B3B89D7"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3.4</w:t>
                  </w:r>
                </w:p>
              </w:tc>
              <w:tc>
                <w:tcPr>
                  <w:tcW w:w="1080" w:type="dxa"/>
                  <w:tcBorders>
                    <w:top w:val="nil"/>
                    <w:left w:val="nil"/>
                    <w:bottom w:val="single" w:sz="4" w:space="0" w:color="auto"/>
                    <w:right w:val="single" w:sz="4" w:space="0" w:color="auto"/>
                  </w:tcBorders>
                  <w:shd w:val="clear" w:color="auto" w:fill="auto"/>
                  <w:noWrap/>
                  <w:vAlign w:val="bottom"/>
                  <w:hideMark/>
                </w:tcPr>
                <w:p w14:paraId="0623C15E"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2.4</w:t>
                  </w:r>
                </w:p>
              </w:tc>
              <w:tc>
                <w:tcPr>
                  <w:tcW w:w="1080" w:type="dxa"/>
                  <w:tcBorders>
                    <w:top w:val="nil"/>
                    <w:left w:val="nil"/>
                    <w:bottom w:val="single" w:sz="4" w:space="0" w:color="auto"/>
                    <w:right w:val="single" w:sz="4" w:space="0" w:color="auto"/>
                  </w:tcBorders>
                  <w:shd w:val="clear" w:color="auto" w:fill="auto"/>
                  <w:noWrap/>
                  <w:vAlign w:val="bottom"/>
                  <w:hideMark/>
                </w:tcPr>
                <w:p w14:paraId="24BDF8D5"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3.3</w:t>
                  </w:r>
                </w:p>
              </w:tc>
              <w:tc>
                <w:tcPr>
                  <w:tcW w:w="1080" w:type="dxa"/>
                  <w:tcBorders>
                    <w:top w:val="nil"/>
                    <w:left w:val="nil"/>
                    <w:bottom w:val="single" w:sz="4" w:space="0" w:color="auto"/>
                    <w:right w:val="single" w:sz="4" w:space="0" w:color="auto"/>
                  </w:tcBorders>
                  <w:shd w:val="clear" w:color="auto" w:fill="auto"/>
                  <w:noWrap/>
                  <w:vAlign w:val="bottom"/>
                  <w:hideMark/>
                </w:tcPr>
                <w:p w14:paraId="26FFDA5F"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2.5</w:t>
                  </w:r>
                </w:p>
              </w:tc>
              <w:tc>
                <w:tcPr>
                  <w:tcW w:w="1080" w:type="dxa"/>
                  <w:tcBorders>
                    <w:top w:val="nil"/>
                    <w:left w:val="nil"/>
                    <w:bottom w:val="single" w:sz="4" w:space="0" w:color="auto"/>
                    <w:right w:val="single" w:sz="4" w:space="0" w:color="auto"/>
                  </w:tcBorders>
                  <w:shd w:val="clear" w:color="auto" w:fill="auto"/>
                  <w:noWrap/>
                  <w:vAlign w:val="bottom"/>
                  <w:hideMark/>
                </w:tcPr>
                <w:p w14:paraId="406943EE"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0.1</w:t>
                  </w:r>
                </w:p>
              </w:tc>
              <w:tc>
                <w:tcPr>
                  <w:tcW w:w="1080" w:type="dxa"/>
                  <w:tcBorders>
                    <w:top w:val="nil"/>
                    <w:left w:val="nil"/>
                    <w:bottom w:val="single" w:sz="4" w:space="0" w:color="auto"/>
                    <w:right w:val="single" w:sz="4" w:space="0" w:color="auto"/>
                  </w:tcBorders>
                  <w:shd w:val="clear" w:color="auto" w:fill="auto"/>
                  <w:noWrap/>
                  <w:vAlign w:val="bottom"/>
                  <w:hideMark/>
                </w:tcPr>
                <w:p w14:paraId="215FDE00"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1.5</w:t>
                  </w:r>
                </w:p>
              </w:tc>
            </w:tr>
            <w:tr w:rsidR="00190FF0" w:rsidRPr="00F83660" w14:paraId="3D94E573" w14:textId="77777777" w:rsidTr="0033092C">
              <w:trPr>
                <w:trHeight w:val="315"/>
              </w:trPr>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70597964" w14:textId="77777777" w:rsidR="00190FF0" w:rsidRPr="00F83660" w:rsidRDefault="00190FF0" w:rsidP="0033092C">
                  <w:pPr>
                    <w:spacing w:after="0" w:line="240" w:lineRule="auto"/>
                    <w:rPr>
                      <w:rFonts w:eastAsia="Times New Roman" w:cs="Times New Roman"/>
                      <w:color w:val="000000"/>
                      <w:szCs w:val="24"/>
                    </w:rPr>
                  </w:pPr>
                  <w:r w:rsidRPr="00F83660">
                    <w:rPr>
                      <w:rFonts w:eastAsia="Times New Roman" w:cs="Times New Roman"/>
                      <w:color w:val="000000"/>
                      <w:szCs w:val="24"/>
                    </w:rPr>
                    <w:t>GDP</w:t>
                  </w:r>
                </w:p>
              </w:tc>
              <w:tc>
                <w:tcPr>
                  <w:tcW w:w="1080" w:type="dxa"/>
                  <w:tcBorders>
                    <w:top w:val="nil"/>
                    <w:left w:val="nil"/>
                    <w:bottom w:val="single" w:sz="4" w:space="0" w:color="auto"/>
                    <w:right w:val="single" w:sz="4" w:space="0" w:color="auto"/>
                  </w:tcBorders>
                  <w:shd w:val="clear" w:color="auto" w:fill="auto"/>
                  <w:noWrap/>
                  <w:vAlign w:val="bottom"/>
                  <w:hideMark/>
                </w:tcPr>
                <w:p w14:paraId="3392F37B"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4.1</w:t>
                  </w:r>
                </w:p>
              </w:tc>
              <w:tc>
                <w:tcPr>
                  <w:tcW w:w="1080" w:type="dxa"/>
                  <w:tcBorders>
                    <w:top w:val="nil"/>
                    <w:left w:val="nil"/>
                    <w:bottom w:val="single" w:sz="4" w:space="0" w:color="auto"/>
                    <w:right w:val="single" w:sz="4" w:space="0" w:color="auto"/>
                  </w:tcBorders>
                  <w:shd w:val="clear" w:color="auto" w:fill="auto"/>
                  <w:noWrap/>
                  <w:vAlign w:val="bottom"/>
                  <w:hideMark/>
                </w:tcPr>
                <w:p w14:paraId="27937CCB"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1.7</w:t>
                  </w:r>
                </w:p>
              </w:tc>
              <w:tc>
                <w:tcPr>
                  <w:tcW w:w="1080" w:type="dxa"/>
                  <w:tcBorders>
                    <w:top w:val="nil"/>
                    <w:left w:val="nil"/>
                    <w:bottom w:val="single" w:sz="4" w:space="0" w:color="auto"/>
                    <w:right w:val="single" w:sz="4" w:space="0" w:color="auto"/>
                  </w:tcBorders>
                  <w:shd w:val="clear" w:color="auto" w:fill="auto"/>
                  <w:noWrap/>
                  <w:vAlign w:val="bottom"/>
                  <w:hideMark/>
                </w:tcPr>
                <w:p w14:paraId="602739AE"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3.8</w:t>
                  </w:r>
                </w:p>
              </w:tc>
              <w:tc>
                <w:tcPr>
                  <w:tcW w:w="1080" w:type="dxa"/>
                  <w:tcBorders>
                    <w:top w:val="nil"/>
                    <w:left w:val="nil"/>
                    <w:bottom w:val="single" w:sz="4" w:space="0" w:color="auto"/>
                    <w:right w:val="single" w:sz="4" w:space="0" w:color="auto"/>
                  </w:tcBorders>
                  <w:shd w:val="clear" w:color="auto" w:fill="auto"/>
                  <w:noWrap/>
                  <w:vAlign w:val="bottom"/>
                  <w:hideMark/>
                </w:tcPr>
                <w:p w14:paraId="5BDCC26B"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2.9</w:t>
                  </w:r>
                </w:p>
              </w:tc>
              <w:tc>
                <w:tcPr>
                  <w:tcW w:w="1080" w:type="dxa"/>
                  <w:tcBorders>
                    <w:top w:val="nil"/>
                    <w:left w:val="nil"/>
                    <w:bottom w:val="single" w:sz="4" w:space="0" w:color="auto"/>
                    <w:right w:val="single" w:sz="4" w:space="0" w:color="auto"/>
                  </w:tcBorders>
                  <w:shd w:val="clear" w:color="auto" w:fill="auto"/>
                  <w:noWrap/>
                  <w:vAlign w:val="bottom"/>
                  <w:hideMark/>
                </w:tcPr>
                <w:p w14:paraId="3F1B6687"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-0.1</w:t>
                  </w:r>
                </w:p>
              </w:tc>
              <w:tc>
                <w:tcPr>
                  <w:tcW w:w="1080" w:type="dxa"/>
                  <w:tcBorders>
                    <w:top w:val="nil"/>
                    <w:left w:val="nil"/>
                    <w:bottom w:val="single" w:sz="4" w:space="0" w:color="auto"/>
                    <w:right w:val="single" w:sz="4" w:space="0" w:color="auto"/>
                  </w:tcBorders>
                  <w:shd w:val="clear" w:color="auto" w:fill="auto"/>
                  <w:noWrap/>
                  <w:vAlign w:val="bottom"/>
                  <w:hideMark/>
                </w:tcPr>
                <w:p w14:paraId="193912DA" w14:textId="77777777" w:rsidR="00190FF0" w:rsidRPr="00F83660" w:rsidRDefault="00190FF0" w:rsidP="0033092C">
                  <w:pPr>
                    <w:spacing w:after="0" w:line="240" w:lineRule="auto"/>
                    <w:jc w:val="right"/>
                    <w:rPr>
                      <w:rFonts w:eastAsia="Times New Roman" w:cs="Times New Roman"/>
                      <w:color w:val="000000"/>
                      <w:szCs w:val="24"/>
                    </w:rPr>
                  </w:pPr>
                  <w:r w:rsidRPr="00F83660">
                    <w:rPr>
                      <w:rFonts w:eastAsia="Times New Roman" w:cs="Times New Roman"/>
                      <w:color w:val="000000"/>
                      <w:szCs w:val="24"/>
                    </w:rPr>
                    <w:t>2.6</w:t>
                  </w:r>
                </w:p>
              </w:tc>
            </w:tr>
          </w:tbl>
          <w:p w14:paraId="143345B8" w14:textId="77777777" w:rsidR="00190FF0" w:rsidRPr="008D45A5" w:rsidRDefault="00190FF0" w:rsidP="0033092C">
            <w:pPr>
              <w:rPr>
                <w:rFonts w:eastAsia="Times New Roman" w:cs="Times New Roman"/>
                <w:color w:val="000000"/>
                <w:szCs w:val="24"/>
              </w:rPr>
            </w:pPr>
          </w:p>
        </w:tc>
        <w:tc>
          <w:tcPr>
            <w:tcW w:w="559" w:type="dxa"/>
            <w:tcBorders>
              <w:top w:val="nil"/>
              <w:left w:val="nil"/>
              <w:bottom w:val="nil"/>
              <w:right w:val="nil"/>
            </w:tcBorders>
            <w:shd w:val="clear" w:color="auto" w:fill="auto"/>
            <w:noWrap/>
            <w:vAlign w:val="bottom"/>
          </w:tcPr>
          <w:p w14:paraId="0E066EA0"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59" w:type="dxa"/>
            <w:tcBorders>
              <w:top w:val="nil"/>
              <w:left w:val="nil"/>
              <w:bottom w:val="nil"/>
              <w:right w:val="nil"/>
            </w:tcBorders>
            <w:shd w:val="clear" w:color="auto" w:fill="auto"/>
            <w:noWrap/>
            <w:vAlign w:val="bottom"/>
          </w:tcPr>
          <w:p w14:paraId="27CEAE3E"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3EFF4A41"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62D06F43"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71493A66"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21524BD3" w14:textId="77777777" w:rsidR="00190FF0" w:rsidRPr="008D45A5" w:rsidRDefault="00190FF0" w:rsidP="0033092C">
            <w:pPr>
              <w:spacing w:after="0" w:line="480" w:lineRule="auto"/>
              <w:ind w:firstLine="720"/>
              <w:jc w:val="right"/>
              <w:rPr>
                <w:rFonts w:eastAsia="Times New Roman" w:cs="Times New Roman"/>
                <w:color w:val="000000"/>
                <w:szCs w:val="24"/>
              </w:rPr>
            </w:pPr>
          </w:p>
        </w:tc>
      </w:tr>
      <w:tr w:rsidR="00190FF0" w:rsidRPr="008D45A5" w14:paraId="6EBEB2AB" w14:textId="77777777" w:rsidTr="0033092C">
        <w:trPr>
          <w:trHeight w:val="315"/>
        </w:trPr>
        <w:tc>
          <w:tcPr>
            <w:tcW w:w="5668" w:type="dxa"/>
            <w:tcBorders>
              <w:top w:val="nil"/>
              <w:left w:val="nil"/>
              <w:bottom w:val="nil"/>
              <w:right w:val="nil"/>
            </w:tcBorders>
            <w:shd w:val="clear" w:color="auto" w:fill="auto"/>
            <w:noWrap/>
            <w:vAlign w:val="bottom"/>
          </w:tcPr>
          <w:p w14:paraId="70759816" w14:textId="77777777" w:rsidR="00190FF0" w:rsidRPr="008D45A5" w:rsidRDefault="00190FF0" w:rsidP="0033092C">
            <w:pPr>
              <w:spacing w:after="0" w:line="480" w:lineRule="auto"/>
              <w:rPr>
                <w:rFonts w:eastAsia="Times New Roman" w:cs="Times New Roman"/>
                <w:color w:val="000000"/>
                <w:szCs w:val="24"/>
              </w:rPr>
            </w:pPr>
          </w:p>
        </w:tc>
        <w:tc>
          <w:tcPr>
            <w:tcW w:w="559" w:type="dxa"/>
            <w:tcBorders>
              <w:top w:val="nil"/>
              <w:left w:val="nil"/>
              <w:bottom w:val="nil"/>
              <w:right w:val="nil"/>
            </w:tcBorders>
            <w:shd w:val="clear" w:color="auto" w:fill="auto"/>
            <w:noWrap/>
            <w:vAlign w:val="bottom"/>
          </w:tcPr>
          <w:p w14:paraId="6A587402"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59" w:type="dxa"/>
            <w:tcBorders>
              <w:top w:val="nil"/>
              <w:left w:val="nil"/>
              <w:bottom w:val="nil"/>
              <w:right w:val="nil"/>
            </w:tcBorders>
            <w:shd w:val="clear" w:color="auto" w:fill="auto"/>
            <w:noWrap/>
            <w:vAlign w:val="bottom"/>
          </w:tcPr>
          <w:p w14:paraId="5E675FD8"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3ED4C99F"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04479EAC"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4A9EF204"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4EB772DF" w14:textId="77777777" w:rsidR="00190FF0" w:rsidRPr="008D45A5" w:rsidRDefault="00190FF0" w:rsidP="0033092C">
            <w:pPr>
              <w:spacing w:after="0" w:line="480" w:lineRule="auto"/>
              <w:ind w:firstLine="720"/>
              <w:jc w:val="right"/>
              <w:rPr>
                <w:rFonts w:eastAsia="Times New Roman" w:cs="Times New Roman"/>
                <w:color w:val="000000"/>
                <w:szCs w:val="24"/>
              </w:rPr>
            </w:pPr>
          </w:p>
        </w:tc>
      </w:tr>
      <w:tr w:rsidR="00190FF0" w:rsidRPr="008D45A5" w14:paraId="002B8394" w14:textId="77777777" w:rsidTr="0033092C">
        <w:trPr>
          <w:trHeight w:val="315"/>
        </w:trPr>
        <w:tc>
          <w:tcPr>
            <w:tcW w:w="5668" w:type="dxa"/>
            <w:tcBorders>
              <w:top w:val="nil"/>
              <w:left w:val="nil"/>
              <w:bottom w:val="nil"/>
              <w:right w:val="nil"/>
            </w:tcBorders>
            <w:shd w:val="clear" w:color="auto" w:fill="auto"/>
            <w:noWrap/>
            <w:vAlign w:val="bottom"/>
          </w:tcPr>
          <w:p w14:paraId="24D94C46" w14:textId="77777777" w:rsidR="00190FF0" w:rsidRPr="008D45A5" w:rsidRDefault="00190FF0" w:rsidP="0033092C">
            <w:pPr>
              <w:spacing w:after="0" w:line="480" w:lineRule="auto"/>
              <w:rPr>
                <w:rFonts w:eastAsia="Times New Roman" w:cs="Times New Roman"/>
                <w:color w:val="000000"/>
                <w:szCs w:val="24"/>
              </w:rPr>
            </w:pPr>
          </w:p>
        </w:tc>
        <w:tc>
          <w:tcPr>
            <w:tcW w:w="559" w:type="dxa"/>
            <w:tcBorders>
              <w:top w:val="nil"/>
              <w:left w:val="nil"/>
              <w:bottom w:val="nil"/>
              <w:right w:val="nil"/>
            </w:tcBorders>
            <w:shd w:val="clear" w:color="auto" w:fill="auto"/>
            <w:noWrap/>
            <w:vAlign w:val="bottom"/>
          </w:tcPr>
          <w:p w14:paraId="3F4FE089"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59" w:type="dxa"/>
            <w:tcBorders>
              <w:top w:val="nil"/>
              <w:left w:val="nil"/>
              <w:bottom w:val="nil"/>
              <w:right w:val="nil"/>
            </w:tcBorders>
            <w:shd w:val="clear" w:color="auto" w:fill="auto"/>
            <w:noWrap/>
            <w:vAlign w:val="bottom"/>
          </w:tcPr>
          <w:p w14:paraId="7665D011"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3AEC1662"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0E239156"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058B3AA8" w14:textId="77777777" w:rsidR="00190FF0" w:rsidRPr="008D45A5" w:rsidRDefault="00190FF0" w:rsidP="0033092C">
            <w:pPr>
              <w:spacing w:after="0" w:line="480" w:lineRule="auto"/>
              <w:ind w:firstLine="720"/>
              <w:jc w:val="right"/>
              <w:rPr>
                <w:rFonts w:eastAsia="Times New Roman" w:cs="Times New Roman"/>
                <w:color w:val="000000"/>
                <w:szCs w:val="24"/>
              </w:rPr>
            </w:pPr>
          </w:p>
        </w:tc>
        <w:tc>
          <w:tcPr>
            <w:tcW w:w="560" w:type="dxa"/>
            <w:tcBorders>
              <w:top w:val="nil"/>
              <w:left w:val="nil"/>
              <w:bottom w:val="nil"/>
              <w:right w:val="nil"/>
            </w:tcBorders>
            <w:shd w:val="clear" w:color="auto" w:fill="auto"/>
            <w:noWrap/>
            <w:vAlign w:val="bottom"/>
          </w:tcPr>
          <w:p w14:paraId="4955EB2A" w14:textId="77777777" w:rsidR="00190FF0" w:rsidRPr="008D45A5" w:rsidRDefault="00190FF0" w:rsidP="0033092C">
            <w:pPr>
              <w:spacing w:after="0" w:line="480" w:lineRule="auto"/>
              <w:ind w:firstLine="720"/>
              <w:jc w:val="right"/>
              <w:rPr>
                <w:rFonts w:eastAsia="Times New Roman" w:cs="Times New Roman"/>
                <w:color w:val="000000"/>
                <w:szCs w:val="24"/>
              </w:rPr>
            </w:pPr>
          </w:p>
        </w:tc>
      </w:tr>
    </w:tbl>
    <w:p w14:paraId="206365A9" w14:textId="77777777" w:rsidR="00190FF0" w:rsidRPr="008D45A5" w:rsidRDefault="00190FF0" w:rsidP="00190FF0">
      <w:pPr>
        <w:pStyle w:val="NormalWeb"/>
        <w:shd w:val="clear" w:color="auto" w:fill="FFFFFF"/>
        <w:spacing w:line="480" w:lineRule="auto"/>
        <w:rPr>
          <w:color w:val="333333"/>
        </w:rPr>
      </w:pPr>
      <w:r>
        <w:rPr>
          <w:color w:val="333333"/>
        </w:rPr>
        <w:t>The above table shows the data extracted from US Bureau of Labor Statistics.</w:t>
      </w:r>
    </w:p>
    <w:p w14:paraId="203FD446" w14:textId="77777777" w:rsidR="00190FF0" w:rsidRPr="006940A8" w:rsidRDefault="00190FF0" w:rsidP="00190FF0">
      <w:pPr>
        <w:pStyle w:val="NormalWeb"/>
        <w:shd w:val="clear" w:color="auto" w:fill="FFFFFF"/>
        <w:spacing w:line="480" w:lineRule="auto"/>
        <w:ind w:firstLine="720"/>
        <w:rPr>
          <w:color w:val="333333"/>
        </w:rPr>
      </w:pPr>
      <w:r>
        <w:rPr>
          <w:noProof/>
        </w:rPr>
        <w:drawing>
          <wp:inline distT="0" distB="0" distL="0" distR="0" wp14:anchorId="065A4F86" wp14:editId="182D32FD">
            <wp:extent cx="4572000" cy="2743200"/>
            <wp:effectExtent l="0" t="0" r="0" b="0"/>
            <wp:docPr id="1" name="Chart 1">
              <a:extLst xmlns:a="http://schemas.openxmlformats.org/drawingml/2006/main">
                <a:ext uri="{FF2B5EF4-FFF2-40B4-BE49-F238E27FC236}">
                  <a16:creationId xmlns:a16="http://schemas.microsoft.com/office/drawing/2014/main" id="{435D31F2-5FF0-4A3D-A1CD-980D668F25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BF350E" w14:textId="77777777" w:rsidR="00190FF0" w:rsidRDefault="00190FF0" w:rsidP="00190FF0">
      <w:pPr>
        <w:spacing w:line="480" w:lineRule="auto"/>
        <w:ind w:firstLine="720"/>
        <w:rPr>
          <w:rFonts w:cs="Times New Roman"/>
          <w:szCs w:val="24"/>
        </w:rPr>
      </w:pPr>
      <w:r>
        <w:rPr>
          <w:rFonts w:cs="Times New Roman"/>
          <w:szCs w:val="24"/>
        </w:rPr>
        <w:lastRenderedPageBreak/>
        <w:t>The above chart shows the analyzed data.</w:t>
      </w:r>
    </w:p>
    <w:p w14:paraId="016339B3" w14:textId="77777777" w:rsidR="00190FF0" w:rsidRDefault="00190FF0" w:rsidP="00190FF0">
      <w:pPr>
        <w:spacing w:line="480" w:lineRule="auto"/>
        <w:ind w:firstLine="720"/>
        <w:rPr>
          <w:rFonts w:cs="Times New Roman"/>
          <w:szCs w:val="24"/>
        </w:rPr>
      </w:pPr>
      <w:r>
        <w:rPr>
          <w:rFonts w:cs="Times New Roman"/>
          <w:szCs w:val="24"/>
        </w:rPr>
        <w:t>As per Okun’s Law, increase in unemployment by 1% results to a decrease in Gross Domestic Product by 2%. This in the long run has a multiplier effect of 100.</w:t>
      </w:r>
    </w:p>
    <w:p w14:paraId="56A932CF" w14:textId="77777777" w:rsidR="00190FF0" w:rsidRDefault="00190FF0" w:rsidP="00190FF0">
      <w:pPr>
        <w:spacing w:line="480" w:lineRule="auto"/>
        <w:ind w:firstLine="720"/>
        <w:rPr>
          <w:rFonts w:cs="Times New Roman"/>
          <w:szCs w:val="24"/>
        </w:rPr>
      </w:pPr>
      <w:r>
        <w:rPr>
          <w:rFonts w:cs="Times New Roman"/>
          <w:szCs w:val="24"/>
        </w:rPr>
        <w:t xml:space="preserve">However, in the year 2008, Okun’s Law seems to have been disputed as the relationship was not exhibited. This could have been due to the sluggish economic growth witnessed globally and which seemed to have a more effect on US economy. </w:t>
      </w:r>
      <w:r w:rsidRPr="00466674">
        <w:rPr>
          <w:rFonts w:cs="Times New Roman"/>
          <w:color w:val="222222"/>
          <w:szCs w:val="24"/>
          <w:shd w:val="clear" w:color="auto" w:fill="FFFFFF"/>
        </w:rPr>
        <w:t>It began in 2007 with a crisis in the subprime mortgage market in the United States and developed into a full-blown international banking crisis with the collapse of the investment bank Lehman Brothers on September 15, 2008.The crisis was nonetheless followed by a global economic downturn, the Great Recession.</w:t>
      </w:r>
      <w:r w:rsidRPr="00466674">
        <w:rPr>
          <w:rFonts w:cs="Times New Roman"/>
          <w:szCs w:val="24"/>
        </w:rPr>
        <w:t xml:space="preserve"> </w:t>
      </w:r>
    </w:p>
    <w:p w14:paraId="340F248A" w14:textId="77777777" w:rsidR="00190FF0" w:rsidRDefault="00190FF0" w:rsidP="00190FF0">
      <w:pPr>
        <w:spacing w:line="480" w:lineRule="auto"/>
        <w:ind w:firstLine="720"/>
        <w:rPr>
          <w:rFonts w:cs="Times New Roman"/>
          <w:szCs w:val="24"/>
        </w:rPr>
      </w:pPr>
      <w:r>
        <w:rPr>
          <w:rFonts w:cs="Times New Roman"/>
          <w:szCs w:val="24"/>
        </w:rPr>
        <w:t>Inflation on the other hand, has a positive effect to GDP on the short run. In the long run, GDP growth goes to negative as seen in year 2008. At this point, inflation is so harmful to the economy, nothing is being produced, people have been laid off, consumption goes down and the economy is at the slump.</w:t>
      </w:r>
    </w:p>
    <w:p w14:paraId="33ABD952" w14:textId="7B5B8EE9" w:rsidR="00190FF0" w:rsidRDefault="00190FF0" w:rsidP="00190FF0">
      <w:pPr>
        <w:spacing w:line="480" w:lineRule="auto"/>
        <w:ind w:firstLine="720"/>
        <w:rPr>
          <w:rFonts w:cs="Times New Roman"/>
          <w:szCs w:val="24"/>
        </w:rPr>
      </w:pPr>
      <w:r>
        <w:rPr>
          <w:rFonts w:cs="Times New Roman"/>
          <w:szCs w:val="24"/>
        </w:rPr>
        <w:t>Data showing average annual wages and GDP growth in US. (Bureau of Labor Statistics).</w:t>
      </w:r>
    </w:p>
    <w:p w14:paraId="02868C8A" w14:textId="77777777" w:rsidR="00190FF0" w:rsidRDefault="00190FF0" w:rsidP="00190FF0">
      <w:pPr>
        <w:spacing w:line="480" w:lineRule="auto"/>
        <w:ind w:firstLine="720"/>
        <w:rPr>
          <w:rFonts w:cs="Times New Roman"/>
          <w:szCs w:val="24"/>
        </w:rPr>
      </w:pPr>
    </w:p>
    <w:tbl>
      <w:tblPr>
        <w:tblW w:w="8420" w:type="dxa"/>
        <w:tblLook w:val="04A0" w:firstRow="1" w:lastRow="0" w:firstColumn="1" w:lastColumn="0" w:noHBand="0" w:noVBand="1"/>
      </w:tblPr>
      <w:tblGrid>
        <w:gridCol w:w="1029"/>
        <w:gridCol w:w="1240"/>
        <w:gridCol w:w="1240"/>
        <w:gridCol w:w="1240"/>
        <w:gridCol w:w="1240"/>
        <w:gridCol w:w="1240"/>
        <w:gridCol w:w="1300"/>
      </w:tblGrid>
      <w:tr w:rsidR="00190FF0" w:rsidRPr="00190FF0" w14:paraId="36577F86" w14:textId="77777777" w:rsidTr="00190FF0">
        <w:trPr>
          <w:trHeight w:val="315"/>
        </w:trPr>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60DA5" w14:textId="77777777" w:rsidR="00190FF0" w:rsidRPr="00190FF0" w:rsidRDefault="00190FF0" w:rsidP="00190FF0">
            <w:pPr>
              <w:spacing w:after="0" w:line="240" w:lineRule="auto"/>
              <w:rPr>
                <w:rFonts w:eastAsia="Times New Roman" w:cs="Times New Roman"/>
                <w:color w:val="000000"/>
                <w:szCs w:val="24"/>
              </w:rPr>
            </w:pPr>
            <w:r w:rsidRPr="00190FF0">
              <w:rPr>
                <w:rFonts w:eastAsia="Times New Roman" w:cs="Times New Roman"/>
                <w:color w:val="000000"/>
                <w:szCs w:val="24"/>
              </w:rPr>
              <w:t>Year</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3E165FF6"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2005</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7B6C4538"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2006</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3A861EB"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2007</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DC12F7D"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2008</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2747B451"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2009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04DD3C1B"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2010</w:t>
            </w:r>
          </w:p>
        </w:tc>
      </w:tr>
      <w:tr w:rsidR="00190FF0" w:rsidRPr="00190FF0" w14:paraId="519FA77B" w14:textId="77777777" w:rsidTr="00190FF0">
        <w:trPr>
          <w:trHeight w:val="630"/>
        </w:trPr>
        <w:tc>
          <w:tcPr>
            <w:tcW w:w="920" w:type="dxa"/>
            <w:tcBorders>
              <w:top w:val="nil"/>
              <w:left w:val="single" w:sz="4" w:space="0" w:color="auto"/>
              <w:bottom w:val="single" w:sz="4" w:space="0" w:color="auto"/>
              <w:right w:val="single" w:sz="4" w:space="0" w:color="auto"/>
            </w:tcBorders>
            <w:shd w:val="clear" w:color="auto" w:fill="auto"/>
            <w:vAlign w:val="bottom"/>
            <w:hideMark/>
          </w:tcPr>
          <w:p w14:paraId="55C3F57F" w14:textId="77777777" w:rsidR="00190FF0" w:rsidRPr="00190FF0" w:rsidRDefault="00190FF0" w:rsidP="00190FF0">
            <w:pPr>
              <w:spacing w:after="0" w:line="240" w:lineRule="auto"/>
              <w:rPr>
                <w:rFonts w:eastAsia="Times New Roman" w:cs="Times New Roman"/>
                <w:color w:val="000000"/>
                <w:szCs w:val="24"/>
              </w:rPr>
            </w:pPr>
            <w:r w:rsidRPr="00190FF0">
              <w:rPr>
                <w:rFonts w:eastAsia="Times New Roman" w:cs="Times New Roman"/>
                <w:color w:val="000000"/>
                <w:szCs w:val="24"/>
              </w:rPr>
              <w:t>Average Wages</w:t>
            </w:r>
          </w:p>
        </w:tc>
        <w:tc>
          <w:tcPr>
            <w:tcW w:w="1240" w:type="dxa"/>
            <w:tcBorders>
              <w:top w:val="nil"/>
              <w:left w:val="nil"/>
              <w:bottom w:val="single" w:sz="4" w:space="0" w:color="auto"/>
              <w:right w:val="single" w:sz="4" w:space="0" w:color="auto"/>
            </w:tcBorders>
            <w:shd w:val="clear" w:color="auto" w:fill="auto"/>
            <w:noWrap/>
            <w:vAlign w:val="bottom"/>
            <w:hideMark/>
          </w:tcPr>
          <w:p w14:paraId="59ADDD5B"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45364</w:t>
            </w:r>
          </w:p>
        </w:tc>
        <w:tc>
          <w:tcPr>
            <w:tcW w:w="1240" w:type="dxa"/>
            <w:tcBorders>
              <w:top w:val="nil"/>
              <w:left w:val="nil"/>
              <w:bottom w:val="single" w:sz="4" w:space="0" w:color="auto"/>
              <w:right w:val="single" w:sz="4" w:space="0" w:color="auto"/>
            </w:tcBorders>
            <w:shd w:val="clear" w:color="auto" w:fill="auto"/>
            <w:noWrap/>
            <w:vAlign w:val="bottom"/>
            <w:hideMark/>
          </w:tcPr>
          <w:p w14:paraId="7E11CC30"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47337</w:t>
            </w:r>
          </w:p>
        </w:tc>
        <w:tc>
          <w:tcPr>
            <w:tcW w:w="1240" w:type="dxa"/>
            <w:tcBorders>
              <w:top w:val="nil"/>
              <w:left w:val="nil"/>
              <w:bottom w:val="single" w:sz="4" w:space="0" w:color="auto"/>
              <w:right w:val="single" w:sz="4" w:space="0" w:color="auto"/>
            </w:tcBorders>
            <w:shd w:val="clear" w:color="auto" w:fill="auto"/>
            <w:noWrap/>
            <w:vAlign w:val="bottom"/>
            <w:hideMark/>
          </w:tcPr>
          <w:p w14:paraId="0BD34F5E"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49505</w:t>
            </w:r>
          </w:p>
        </w:tc>
        <w:tc>
          <w:tcPr>
            <w:tcW w:w="1240" w:type="dxa"/>
            <w:tcBorders>
              <w:top w:val="nil"/>
              <w:left w:val="nil"/>
              <w:bottom w:val="single" w:sz="4" w:space="0" w:color="auto"/>
              <w:right w:val="single" w:sz="4" w:space="0" w:color="auto"/>
            </w:tcBorders>
            <w:shd w:val="clear" w:color="auto" w:fill="auto"/>
            <w:noWrap/>
            <w:vAlign w:val="bottom"/>
            <w:hideMark/>
          </w:tcPr>
          <w:p w14:paraId="44987B6D"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50819</w:t>
            </w:r>
          </w:p>
        </w:tc>
        <w:tc>
          <w:tcPr>
            <w:tcW w:w="1240" w:type="dxa"/>
            <w:tcBorders>
              <w:top w:val="nil"/>
              <w:left w:val="nil"/>
              <w:bottom w:val="single" w:sz="4" w:space="0" w:color="auto"/>
              <w:right w:val="single" w:sz="4" w:space="0" w:color="auto"/>
            </w:tcBorders>
            <w:shd w:val="clear" w:color="auto" w:fill="auto"/>
            <w:noWrap/>
            <w:vAlign w:val="bottom"/>
            <w:hideMark/>
          </w:tcPr>
          <w:p w14:paraId="28C3D9DE"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51182</w:t>
            </w:r>
          </w:p>
        </w:tc>
        <w:tc>
          <w:tcPr>
            <w:tcW w:w="1300" w:type="dxa"/>
            <w:tcBorders>
              <w:top w:val="nil"/>
              <w:left w:val="nil"/>
              <w:bottom w:val="single" w:sz="4" w:space="0" w:color="auto"/>
              <w:right w:val="single" w:sz="4" w:space="0" w:color="auto"/>
            </w:tcBorders>
            <w:shd w:val="clear" w:color="auto" w:fill="auto"/>
            <w:noWrap/>
            <w:vAlign w:val="bottom"/>
            <w:hideMark/>
          </w:tcPr>
          <w:p w14:paraId="7C89E83F"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52593</w:t>
            </w:r>
          </w:p>
        </w:tc>
      </w:tr>
      <w:tr w:rsidR="00190FF0" w:rsidRPr="00190FF0" w14:paraId="5D2E2749" w14:textId="77777777" w:rsidTr="00190FF0">
        <w:trPr>
          <w:trHeight w:val="315"/>
        </w:trPr>
        <w:tc>
          <w:tcPr>
            <w:tcW w:w="920" w:type="dxa"/>
            <w:tcBorders>
              <w:top w:val="nil"/>
              <w:left w:val="single" w:sz="4" w:space="0" w:color="auto"/>
              <w:bottom w:val="single" w:sz="4" w:space="0" w:color="auto"/>
              <w:right w:val="single" w:sz="4" w:space="0" w:color="auto"/>
            </w:tcBorders>
            <w:shd w:val="clear" w:color="auto" w:fill="auto"/>
            <w:noWrap/>
            <w:vAlign w:val="bottom"/>
            <w:hideMark/>
          </w:tcPr>
          <w:p w14:paraId="74E8F76A" w14:textId="77777777" w:rsidR="00190FF0" w:rsidRPr="00190FF0" w:rsidRDefault="00190FF0" w:rsidP="00190FF0">
            <w:pPr>
              <w:spacing w:after="0" w:line="240" w:lineRule="auto"/>
              <w:rPr>
                <w:rFonts w:eastAsia="Times New Roman" w:cs="Times New Roman"/>
                <w:color w:val="000000"/>
                <w:szCs w:val="24"/>
              </w:rPr>
            </w:pPr>
            <w:r w:rsidRPr="00190FF0">
              <w:rPr>
                <w:rFonts w:eastAsia="Times New Roman" w:cs="Times New Roman"/>
                <w:color w:val="000000"/>
                <w:szCs w:val="24"/>
              </w:rPr>
              <w:t>GDP</w:t>
            </w:r>
          </w:p>
        </w:tc>
        <w:tc>
          <w:tcPr>
            <w:tcW w:w="1240" w:type="dxa"/>
            <w:tcBorders>
              <w:top w:val="nil"/>
              <w:left w:val="nil"/>
              <w:bottom w:val="single" w:sz="4" w:space="0" w:color="auto"/>
              <w:right w:val="single" w:sz="4" w:space="0" w:color="auto"/>
            </w:tcBorders>
            <w:shd w:val="clear" w:color="auto" w:fill="auto"/>
            <w:noWrap/>
            <w:vAlign w:val="bottom"/>
            <w:hideMark/>
          </w:tcPr>
          <w:p w14:paraId="2868A6A1"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13000</w:t>
            </w:r>
          </w:p>
        </w:tc>
        <w:tc>
          <w:tcPr>
            <w:tcW w:w="1240" w:type="dxa"/>
            <w:tcBorders>
              <w:top w:val="nil"/>
              <w:left w:val="nil"/>
              <w:bottom w:val="single" w:sz="4" w:space="0" w:color="auto"/>
              <w:right w:val="single" w:sz="4" w:space="0" w:color="auto"/>
            </w:tcBorders>
            <w:shd w:val="clear" w:color="auto" w:fill="auto"/>
            <w:noWrap/>
            <w:vAlign w:val="bottom"/>
            <w:hideMark/>
          </w:tcPr>
          <w:p w14:paraId="51CD318C"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13500</w:t>
            </w:r>
          </w:p>
        </w:tc>
        <w:tc>
          <w:tcPr>
            <w:tcW w:w="1240" w:type="dxa"/>
            <w:tcBorders>
              <w:top w:val="nil"/>
              <w:left w:val="nil"/>
              <w:bottom w:val="single" w:sz="4" w:space="0" w:color="auto"/>
              <w:right w:val="single" w:sz="4" w:space="0" w:color="auto"/>
            </w:tcBorders>
            <w:shd w:val="clear" w:color="auto" w:fill="auto"/>
            <w:noWrap/>
            <w:vAlign w:val="bottom"/>
            <w:hideMark/>
          </w:tcPr>
          <w:p w14:paraId="47F2B781"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14500</w:t>
            </w:r>
          </w:p>
        </w:tc>
        <w:tc>
          <w:tcPr>
            <w:tcW w:w="1240" w:type="dxa"/>
            <w:tcBorders>
              <w:top w:val="nil"/>
              <w:left w:val="nil"/>
              <w:bottom w:val="single" w:sz="4" w:space="0" w:color="auto"/>
              <w:right w:val="single" w:sz="4" w:space="0" w:color="auto"/>
            </w:tcBorders>
            <w:shd w:val="clear" w:color="auto" w:fill="auto"/>
            <w:noWrap/>
            <w:vAlign w:val="bottom"/>
            <w:hideMark/>
          </w:tcPr>
          <w:p w14:paraId="45769C11"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14700</w:t>
            </w:r>
          </w:p>
        </w:tc>
        <w:tc>
          <w:tcPr>
            <w:tcW w:w="1240" w:type="dxa"/>
            <w:tcBorders>
              <w:top w:val="nil"/>
              <w:left w:val="nil"/>
              <w:bottom w:val="single" w:sz="4" w:space="0" w:color="auto"/>
              <w:right w:val="single" w:sz="4" w:space="0" w:color="auto"/>
            </w:tcBorders>
            <w:shd w:val="clear" w:color="auto" w:fill="auto"/>
            <w:noWrap/>
            <w:vAlign w:val="bottom"/>
            <w:hideMark/>
          </w:tcPr>
          <w:p w14:paraId="724E0799"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14500</w:t>
            </w:r>
          </w:p>
        </w:tc>
        <w:tc>
          <w:tcPr>
            <w:tcW w:w="1300" w:type="dxa"/>
            <w:tcBorders>
              <w:top w:val="nil"/>
              <w:left w:val="nil"/>
              <w:bottom w:val="single" w:sz="4" w:space="0" w:color="auto"/>
              <w:right w:val="single" w:sz="4" w:space="0" w:color="auto"/>
            </w:tcBorders>
            <w:shd w:val="clear" w:color="auto" w:fill="auto"/>
            <w:noWrap/>
            <w:vAlign w:val="bottom"/>
            <w:hideMark/>
          </w:tcPr>
          <w:p w14:paraId="3686671A" w14:textId="77777777" w:rsidR="00190FF0" w:rsidRPr="00190FF0" w:rsidRDefault="00190FF0" w:rsidP="00190FF0">
            <w:pPr>
              <w:spacing w:after="0" w:line="240" w:lineRule="auto"/>
              <w:jc w:val="right"/>
              <w:rPr>
                <w:rFonts w:eastAsia="Times New Roman" w:cs="Times New Roman"/>
                <w:color w:val="000000"/>
                <w:szCs w:val="24"/>
              </w:rPr>
            </w:pPr>
            <w:r w:rsidRPr="00190FF0">
              <w:rPr>
                <w:rFonts w:eastAsia="Times New Roman" w:cs="Times New Roman"/>
                <w:color w:val="000000"/>
                <w:szCs w:val="24"/>
              </w:rPr>
              <w:t>15000</w:t>
            </w:r>
          </w:p>
        </w:tc>
      </w:tr>
    </w:tbl>
    <w:p w14:paraId="2039568F" w14:textId="77777777" w:rsidR="00190FF0" w:rsidRDefault="00190FF0" w:rsidP="00190FF0">
      <w:pPr>
        <w:spacing w:line="480" w:lineRule="auto"/>
        <w:ind w:firstLine="720"/>
        <w:rPr>
          <w:rFonts w:cs="Times New Roman"/>
          <w:szCs w:val="24"/>
        </w:rPr>
      </w:pPr>
    </w:p>
    <w:p w14:paraId="62BCED16" w14:textId="77777777" w:rsidR="00190FF0" w:rsidRDefault="00190FF0" w:rsidP="00190FF0">
      <w:pPr>
        <w:spacing w:line="480" w:lineRule="auto"/>
        <w:ind w:firstLine="720"/>
        <w:rPr>
          <w:rFonts w:cs="Times New Roman"/>
          <w:szCs w:val="24"/>
        </w:rPr>
      </w:pPr>
      <w:r>
        <w:rPr>
          <w:noProof/>
        </w:rPr>
        <w:lastRenderedPageBreak/>
        <w:drawing>
          <wp:inline distT="0" distB="0" distL="0" distR="0" wp14:anchorId="6BBBB829" wp14:editId="0FAB0625">
            <wp:extent cx="4572000" cy="2743200"/>
            <wp:effectExtent l="0" t="0" r="0" b="0"/>
            <wp:docPr id="2" name="Chart 2">
              <a:extLst xmlns:a="http://schemas.openxmlformats.org/drawingml/2006/main">
                <a:ext uri="{FF2B5EF4-FFF2-40B4-BE49-F238E27FC236}">
                  <a16:creationId xmlns:a16="http://schemas.microsoft.com/office/drawing/2014/main" id="{01C47F15-C38C-48DA-8509-DE23C268AA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E05E15" w14:textId="77777777" w:rsidR="00190FF0" w:rsidRPr="0032575C" w:rsidRDefault="00190FF0" w:rsidP="00190FF0">
      <w:pPr>
        <w:spacing w:line="480" w:lineRule="auto"/>
        <w:ind w:firstLine="720"/>
        <w:rPr>
          <w:rFonts w:cs="Times New Roman"/>
          <w:szCs w:val="24"/>
        </w:rPr>
      </w:pPr>
    </w:p>
    <w:p w14:paraId="2E85ED20" w14:textId="77777777" w:rsidR="00190FF0" w:rsidRDefault="00190FF0" w:rsidP="00190FF0">
      <w:pPr>
        <w:spacing w:line="480" w:lineRule="auto"/>
        <w:ind w:firstLine="720"/>
        <w:rPr>
          <w:rFonts w:cs="Times New Roman"/>
          <w:szCs w:val="24"/>
        </w:rPr>
      </w:pPr>
      <w:r>
        <w:rPr>
          <w:rFonts w:cs="Times New Roman"/>
          <w:szCs w:val="24"/>
        </w:rPr>
        <w:t>High wages and GDP growth are positively correlated. When wages are high, consumption behavior will increase, this will lead to increased production to meet the current demand and the vice versa will be true.</w:t>
      </w:r>
    </w:p>
    <w:p w14:paraId="62E69F84" w14:textId="77777777" w:rsidR="00190FF0" w:rsidRPr="00F83660" w:rsidRDefault="00190FF0" w:rsidP="00190FF0">
      <w:pPr>
        <w:spacing w:line="480" w:lineRule="auto"/>
        <w:ind w:firstLine="720"/>
        <w:rPr>
          <w:rFonts w:cs="Times New Roman"/>
          <w:b/>
          <w:bCs/>
          <w:szCs w:val="24"/>
          <w:u w:val="single"/>
        </w:rPr>
      </w:pPr>
      <w:r w:rsidRPr="00F83660">
        <w:rPr>
          <w:rFonts w:cs="Times New Roman"/>
          <w:b/>
          <w:bCs/>
          <w:szCs w:val="24"/>
          <w:u w:val="single"/>
        </w:rPr>
        <w:t xml:space="preserve"> Conclusion</w:t>
      </w:r>
    </w:p>
    <w:p w14:paraId="44828250" w14:textId="77777777" w:rsidR="00190FF0" w:rsidRDefault="00190FF0" w:rsidP="00190FF0">
      <w:pPr>
        <w:spacing w:line="480" w:lineRule="auto"/>
        <w:ind w:firstLine="720"/>
        <w:rPr>
          <w:rFonts w:cs="Times New Roman"/>
          <w:szCs w:val="24"/>
        </w:rPr>
      </w:pPr>
      <w:r>
        <w:rPr>
          <w:rFonts w:cs="Times New Roman"/>
          <w:szCs w:val="24"/>
        </w:rPr>
        <w:t>Unemployment, Inflation and wage rates have an impact on the Gross Domestic Product (GDP) of any country. A balance must be established between these three so that there is a steady growth in GDP.</w:t>
      </w:r>
    </w:p>
    <w:p w14:paraId="5DCE1E76" w14:textId="77777777" w:rsidR="00190FF0" w:rsidRDefault="00190FF0" w:rsidP="00190FF0">
      <w:pPr>
        <w:spacing w:line="480" w:lineRule="auto"/>
        <w:ind w:firstLine="720"/>
        <w:rPr>
          <w:rFonts w:cs="Times New Roman"/>
          <w:szCs w:val="24"/>
        </w:rPr>
      </w:pPr>
    </w:p>
    <w:p w14:paraId="4773882F" w14:textId="77777777" w:rsidR="00190FF0" w:rsidRDefault="00190FF0" w:rsidP="00190FF0">
      <w:pPr>
        <w:spacing w:line="480" w:lineRule="auto"/>
        <w:ind w:firstLine="720"/>
        <w:rPr>
          <w:rFonts w:cs="Times New Roman"/>
          <w:szCs w:val="24"/>
        </w:rPr>
      </w:pPr>
    </w:p>
    <w:p w14:paraId="363C3B75" w14:textId="77777777" w:rsidR="00190FF0" w:rsidRDefault="00190FF0" w:rsidP="00190FF0">
      <w:pPr>
        <w:spacing w:line="480" w:lineRule="auto"/>
        <w:ind w:firstLine="720"/>
        <w:rPr>
          <w:rFonts w:cs="Times New Roman"/>
          <w:szCs w:val="24"/>
        </w:rPr>
      </w:pPr>
    </w:p>
    <w:p w14:paraId="3FC1BCD0" w14:textId="77777777" w:rsidR="00190FF0" w:rsidRDefault="00190FF0" w:rsidP="00190FF0">
      <w:pPr>
        <w:spacing w:line="480" w:lineRule="auto"/>
        <w:ind w:firstLine="720"/>
        <w:rPr>
          <w:rFonts w:cs="Times New Roman"/>
          <w:szCs w:val="24"/>
        </w:rPr>
      </w:pPr>
    </w:p>
    <w:p w14:paraId="06755214" w14:textId="77777777" w:rsidR="00190FF0" w:rsidRDefault="00190FF0" w:rsidP="00190FF0">
      <w:pPr>
        <w:spacing w:line="480" w:lineRule="auto"/>
        <w:ind w:firstLine="720"/>
        <w:rPr>
          <w:rFonts w:cs="Times New Roman"/>
          <w:szCs w:val="24"/>
        </w:rPr>
      </w:pPr>
    </w:p>
    <w:p w14:paraId="5DDA8CED" w14:textId="77777777" w:rsidR="00190FF0" w:rsidRDefault="00190FF0" w:rsidP="00190FF0">
      <w:pPr>
        <w:spacing w:line="480" w:lineRule="auto"/>
        <w:ind w:firstLine="720"/>
        <w:rPr>
          <w:rFonts w:cs="Times New Roman"/>
          <w:szCs w:val="24"/>
        </w:rPr>
      </w:pPr>
    </w:p>
    <w:p w14:paraId="30625312" w14:textId="77777777" w:rsidR="00190FF0" w:rsidRDefault="00190FF0" w:rsidP="00190FF0">
      <w:pPr>
        <w:spacing w:line="480" w:lineRule="auto"/>
        <w:ind w:firstLine="720"/>
        <w:jc w:val="center"/>
        <w:rPr>
          <w:rFonts w:cs="Times New Roman"/>
          <w:b/>
          <w:bCs/>
          <w:szCs w:val="24"/>
        </w:rPr>
      </w:pPr>
    </w:p>
    <w:p w14:paraId="245D3AC3" w14:textId="7ECA4267" w:rsidR="00190FF0" w:rsidRPr="001C22D5" w:rsidRDefault="00190FF0" w:rsidP="00190FF0">
      <w:pPr>
        <w:spacing w:line="480" w:lineRule="auto"/>
        <w:ind w:firstLine="720"/>
        <w:jc w:val="center"/>
        <w:rPr>
          <w:rFonts w:cs="Times New Roman"/>
          <w:b/>
          <w:bCs/>
          <w:szCs w:val="24"/>
        </w:rPr>
      </w:pPr>
      <w:r w:rsidRPr="001C22D5">
        <w:rPr>
          <w:rFonts w:cs="Times New Roman"/>
          <w:b/>
          <w:bCs/>
          <w:szCs w:val="24"/>
        </w:rPr>
        <w:t>References</w:t>
      </w:r>
    </w:p>
    <w:p w14:paraId="27A41C70" w14:textId="77777777" w:rsidR="00190FF0" w:rsidRPr="00022FB3" w:rsidRDefault="00190FF0" w:rsidP="00190FF0">
      <w:pPr>
        <w:spacing w:line="480" w:lineRule="auto"/>
        <w:ind w:firstLine="720"/>
        <w:rPr>
          <w:rFonts w:cs="Times New Roman"/>
          <w:color w:val="333333"/>
          <w:szCs w:val="24"/>
          <w:shd w:val="clear" w:color="auto" w:fill="F8F9F7"/>
        </w:rPr>
      </w:pPr>
      <w:r w:rsidRPr="00022FB3">
        <w:rPr>
          <w:rFonts w:cs="Times New Roman"/>
          <w:color w:val="333333"/>
          <w:szCs w:val="24"/>
          <w:shd w:val="clear" w:color="auto" w:fill="F8F9F7"/>
        </w:rPr>
        <w:t>Bureau of Labor Statistics, U.S. Department of Labor, </w:t>
      </w:r>
      <w:r w:rsidRPr="00022FB3">
        <w:rPr>
          <w:rStyle w:val="Emphasis"/>
          <w:rFonts w:cs="Times New Roman"/>
          <w:color w:val="333333"/>
          <w:szCs w:val="24"/>
          <w:shd w:val="clear" w:color="auto" w:fill="F8F9F7"/>
        </w:rPr>
        <w:t>The Economics Daily</w:t>
      </w:r>
      <w:r w:rsidRPr="00022FB3">
        <w:rPr>
          <w:rFonts w:cs="Times New Roman"/>
          <w:color w:val="333333"/>
          <w:szCs w:val="24"/>
          <w:shd w:val="clear" w:color="auto" w:fill="F8F9F7"/>
        </w:rPr>
        <w:t>, Long-term data on unemployment</w:t>
      </w:r>
    </w:p>
    <w:p w14:paraId="691B2DE6" w14:textId="0E9494BD" w:rsidR="0066566E" w:rsidRDefault="00190FF0" w:rsidP="00190FF0">
      <w:pPr>
        <w:spacing w:line="480" w:lineRule="auto"/>
        <w:ind w:firstLine="720"/>
        <w:rPr>
          <w:szCs w:val="24"/>
        </w:rPr>
      </w:pPr>
      <w:r w:rsidRPr="00022FB3">
        <w:rPr>
          <w:szCs w:val="24"/>
        </w:rPr>
        <w:t>Fair, Ray C. The Short-Run Demand for Workers and Hours. Amsterdam: North Holland Publishing Co., 1969. __. A Model of Macroeconomic Activity, Volume I: The Theoretical Model Cambridge: Ballinger Publishing Co., 1974. ~. A Model of Macroeconomics Activity, Volume II: The Empirical Model. Cambridge: Ballinger Publishing Co., 1976. "The Sensitivity of Fiscal-Policy Effects to Assumptions about the Behaviour of the Federal Reserve." Econometries, XLVI (September 1978), 1165-1179. [5] "The Use of Optimal Control Techniques to Measure Economic Performance." International Economic Review, XIX (June 1978), 289-309. [6] ~. "Estimating the Expected Predictive Accuracy of Econometric Models." Cowles Foundation Discussion Paper No. 480, January 17, 1978, revised October 1978. [71 [81 "The Fair Model as of April 15, 1978." mimeo. Nordhaus, William D. "Recent Developments in Price Dynamics." In The Econometrics of Price Determination Conference, edited by Otto Eckstein. Washington, D.C.: Board of Governors of the Federal Reserve System, June 1972, 16-49. [91 [101 Perry, George L. "Changing Labor Markets and Inflation." Brookings Papers on Economic Activity, 3 (1970), 411-441. Phillips, A.W. "The Relation between Unemployment and the Rate of Change of Money Wage Rates in the United Kingdom 1861-1957." Economic, XXV (November 1958), 283-299. [11] Tobin, James. "Inflation and Unemployment</w:t>
      </w:r>
      <w:r>
        <w:rPr>
          <w:szCs w:val="24"/>
        </w:rPr>
        <w:t>.</w:t>
      </w:r>
    </w:p>
    <w:p w14:paraId="3F1FEE96" w14:textId="4710C563" w:rsidR="0066566E" w:rsidRDefault="0066566E" w:rsidP="00190FF0">
      <w:pPr>
        <w:spacing w:line="480" w:lineRule="auto"/>
        <w:ind w:firstLine="720"/>
      </w:pPr>
    </w:p>
    <w:p w14:paraId="69713916" w14:textId="37A7DDD4" w:rsidR="0066566E" w:rsidRDefault="0066566E"/>
    <w:p w14:paraId="3DF5E9E1" w14:textId="1E1A2ABE" w:rsidR="0066566E" w:rsidRDefault="0066566E"/>
    <w:sectPr w:rsidR="0066566E">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95565E" w14:textId="77777777" w:rsidR="00DB09E1" w:rsidRDefault="00DB09E1" w:rsidP="0066566E">
      <w:pPr>
        <w:spacing w:after="0" w:line="240" w:lineRule="auto"/>
      </w:pPr>
      <w:r>
        <w:separator/>
      </w:r>
    </w:p>
  </w:endnote>
  <w:endnote w:type="continuationSeparator" w:id="0">
    <w:p w14:paraId="23F2D11C" w14:textId="77777777" w:rsidR="00DB09E1" w:rsidRDefault="00DB09E1" w:rsidP="00665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CAC93" w14:textId="77777777" w:rsidR="00DB09E1" w:rsidRDefault="00DB09E1" w:rsidP="0066566E">
      <w:pPr>
        <w:spacing w:after="0" w:line="240" w:lineRule="auto"/>
      </w:pPr>
      <w:r>
        <w:separator/>
      </w:r>
    </w:p>
  </w:footnote>
  <w:footnote w:type="continuationSeparator" w:id="0">
    <w:p w14:paraId="4B2C5411" w14:textId="77777777" w:rsidR="00DB09E1" w:rsidRDefault="00DB09E1" w:rsidP="00665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8315413"/>
      <w:docPartObj>
        <w:docPartGallery w:val="Page Numbers (Top of Page)"/>
        <w:docPartUnique/>
      </w:docPartObj>
    </w:sdtPr>
    <w:sdtEndPr>
      <w:rPr>
        <w:noProof/>
      </w:rPr>
    </w:sdtEndPr>
    <w:sdtContent>
      <w:p w14:paraId="650B692C" w14:textId="1A057B60" w:rsidR="0066566E" w:rsidRDefault="0066566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BF037AD" w14:textId="24120634" w:rsidR="0066566E" w:rsidRPr="0066566E" w:rsidRDefault="0066566E">
    <w:pPr>
      <w:pStyle w:val="Header"/>
    </w:pPr>
    <w:r>
      <w:t xml:space="preserve">Running Head: </w:t>
    </w:r>
    <w:r w:rsidR="00873406">
      <w:t>CASE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7F7A46"/>
    <w:multiLevelType w:val="hybridMultilevel"/>
    <w:tmpl w:val="182CAC2C"/>
    <w:lvl w:ilvl="0" w:tplc="2000000F">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 w15:restartNumberingAfterBreak="0">
    <w:nsid w:val="234C57A1"/>
    <w:multiLevelType w:val="multilevel"/>
    <w:tmpl w:val="02E8D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BD2326"/>
    <w:multiLevelType w:val="hybridMultilevel"/>
    <w:tmpl w:val="1BF4CA1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695725A"/>
    <w:multiLevelType w:val="hybridMultilevel"/>
    <w:tmpl w:val="84BEE6F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D3"/>
    <w:rsid w:val="000442E6"/>
    <w:rsid w:val="00077AA1"/>
    <w:rsid w:val="0008538F"/>
    <w:rsid w:val="00137E9A"/>
    <w:rsid w:val="00190FF0"/>
    <w:rsid w:val="0027574B"/>
    <w:rsid w:val="00283B94"/>
    <w:rsid w:val="002E70A3"/>
    <w:rsid w:val="00451E15"/>
    <w:rsid w:val="004644F4"/>
    <w:rsid w:val="004A28AD"/>
    <w:rsid w:val="00566466"/>
    <w:rsid w:val="00591E74"/>
    <w:rsid w:val="005A0F06"/>
    <w:rsid w:val="0066566E"/>
    <w:rsid w:val="006864D3"/>
    <w:rsid w:val="007011EC"/>
    <w:rsid w:val="00775AC8"/>
    <w:rsid w:val="007D5678"/>
    <w:rsid w:val="00861D8E"/>
    <w:rsid w:val="00873406"/>
    <w:rsid w:val="008A50D0"/>
    <w:rsid w:val="008F7AAD"/>
    <w:rsid w:val="009455FC"/>
    <w:rsid w:val="00A773C0"/>
    <w:rsid w:val="00B5601E"/>
    <w:rsid w:val="00B66EB2"/>
    <w:rsid w:val="00BD030F"/>
    <w:rsid w:val="00C3424B"/>
    <w:rsid w:val="00C44C06"/>
    <w:rsid w:val="00CB0658"/>
    <w:rsid w:val="00D81411"/>
    <w:rsid w:val="00DB09E1"/>
    <w:rsid w:val="00E255D3"/>
    <w:rsid w:val="00E46AC4"/>
    <w:rsid w:val="00E614EE"/>
    <w:rsid w:val="00EC2F3F"/>
    <w:rsid w:val="00F96034"/>
    <w:rsid w:val="00F961F6"/>
    <w:rsid w:val="00FC7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B8BEA"/>
  <w15:chartTrackingRefBased/>
  <w15:docId w15:val="{C8D0DEE6-2952-4E13-9908-054C50F0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38F"/>
    <w:pPr>
      <w:ind w:left="720"/>
      <w:contextualSpacing/>
    </w:pPr>
  </w:style>
  <w:style w:type="paragraph" w:styleId="Header">
    <w:name w:val="header"/>
    <w:basedOn w:val="Normal"/>
    <w:link w:val="HeaderChar"/>
    <w:uiPriority w:val="99"/>
    <w:unhideWhenUsed/>
    <w:rsid w:val="006656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66E"/>
  </w:style>
  <w:style w:type="paragraph" w:styleId="Footer">
    <w:name w:val="footer"/>
    <w:basedOn w:val="Normal"/>
    <w:link w:val="FooterChar"/>
    <w:uiPriority w:val="99"/>
    <w:unhideWhenUsed/>
    <w:rsid w:val="00665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66E"/>
  </w:style>
  <w:style w:type="character" w:styleId="Hyperlink">
    <w:name w:val="Hyperlink"/>
    <w:basedOn w:val="DefaultParagraphFont"/>
    <w:uiPriority w:val="99"/>
    <w:semiHidden/>
    <w:unhideWhenUsed/>
    <w:rsid w:val="00190FF0"/>
    <w:rPr>
      <w:color w:val="0000FF"/>
      <w:u w:val="single"/>
    </w:rPr>
  </w:style>
  <w:style w:type="paragraph" w:styleId="NormalWeb">
    <w:name w:val="Normal (Web)"/>
    <w:basedOn w:val="Normal"/>
    <w:uiPriority w:val="99"/>
    <w:semiHidden/>
    <w:unhideWhenUsed/>
    <w:rsid w:val="00190FF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90FF0"/>
    <w:rPr>
      <w:i/>
      <w:iCs/>
    </w:rPr>
  </w:style>
  <w:style w:type="character" w:customStyle="1" w:styleId="reference-text">
    <w:name w:val="reference-text"/>
    <w:basedOn w:val="DefaultParagraphFont"/>
    <w:rsid w:val="00190FF0"/>
  </w:style>
  <w:style w:type="character" w:styleId="HTMLCite">
    <w:name w:val="HTML Cite"/>
    <w:basedOn w:val="DefaultParagraphFont"/>
    <w:uiPriority w:val="99"/>
    <w:semiHidden/>
    <w:unhideWhenUsed/>
    <w:rsid w:val="00190FF0"/>
    <w:rPr>
      <w:i/>
      <w:iCs/>
    </w:rPr>
  </w:style>
  <w:style w:type="character" w:customStyle="1" w:styleId="mw-cite-backlink">
    <w:name w:val="mw-cite-backlink"/>
    <w:basedOn w:val="DefaultParagraphFont"/>
    <w:rsid w:val="00190FF0"/>
  </w:style>
  <w:style w:type="character" w:customStyle="1" w:styleId="cite-accessibility-label">
    <w:name w:val="cite-accessibility-label"/>
    <w:basedOn w:val="DefaultParagraphFont"/>
    <w:rsid w:val="00190FF0"/>
  </w:style>
  <w:style w:type="character" w:customStyle="1" w:styleId="reference-accessdate">
    <w:name w:val="reference-accessdate"/>
    <w:basedOn w:val="DefaultParagraphFont"/>
    <w:rsid w:val="00190FF0"/>
  </w:style>
  <w:style w:type="character" w:customStyle="1" w:styleId="nowrap">
    <w:name w:val="nowrap"/>
    <w:basedOn w:val="DefaultParagraphFont"/>
    <w:rsid w:val="00190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844518">
      <w:bodyDiv w:val="1"/>
      <w:marLeft w:val="0"/>
      <w:marRight w:val="0"/>
      <w:marTop w:val="0"/>
      <w:marBottom w:val="0"/>
      <w:divBdr>
        <w:top w:val="none" w:sz="0" w:space="0" w:color="auto"/>
        <w:left w:val="none" w:sz="0" w:space="0" w:color="auto"/>
        <w:bottom w:val="none" w:sz="0" w:space="0" w:color="auto"/>
        <w:right w:val="none" w:sz="0" w:space="0" w:color="auto"/>
      </w:divBdr>
    </w:div>
    <w:div w:id="128936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bureau-of-labor-statistics-3305992" TargetMode="External"/><Relationship Id="rId13" Type="http://schemas.openxmlformats.org/officeDocument/2006/relationships/hyperlink" Target="https://smartasset.com/retirement/retirement-calculator"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rporatefinanceinstitute.com/resources/knowledge/economics/economic-indicators/" TargetMode="External"/><Relationship Id="rId12" Type="http://schemas.openxmlformats.org/officeDocument/2006/relationships/hyperlink" Target="https://www.thebalance.com/natural-rate-of-unemployment-definition-and-trends-3305950" TargetMode="Externa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bls.gov/cgi-bin/dbdown?REQUEST_ERROR_MESSAGE" TargetMode="External"/><Relationship Id="rId5" Type="http://schemas.openxmlformats.org/officeDocument/2006/relationships/footnotes" Target="footnotes.xml"/><Relationship Id="rId15" Type="http://schemas.openxmlformats.org/officeDocument/2006/relationships/hyperlink" Target="https://smartasset.com/career/top-5-tips-for-understanding-jobs-reports" TargetMode="External"/><Relationship Id="rId10" Type="http://schemas.openxmlformats.org/officeDocument/2006/relationships/hyperlink" Target="https://www.thebalance.com/unemployment-rate-330574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hebalance.com/current-u-s-unemployment-rate-statistics-and-news-3305733" TargetMode="External"/><Relationship Id="rId14" Type="http://schemas.openxmlformats.org/officeDocument/2006/relationships/hyperlink" Target="http://www.bls.gov/spotlight/2015/long-term-unemployment/pdf/long-term-unemployment.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Sheet1!$B$4</c:f>
              <c:strCache>
                <c:ptCount val="1"/>
                <c:pt idx="0">
                  <c:v>Unemployment Rate</c:v>
                </c:pt>
              </c:strCache>
            </c:strRef>
          </c:tx>
          <c:spPr>
            <a:solidFill>
              <a:schemeClr val="accent1"/>
            </a:solidFill>
            <a:ln>
              <a:noFill/>
            </a:ln>
            <a:effectLst/>
          </c:spPr>
          <c:invertIfNegative val="0"/>
          <c:cat>
            <c:numRef>
              <c:f>Sheet1!$C$3:$H$3</c:f>
              <c:numCache>
                <c:formatCode>General</c:formatCode>
                <c:ptCount val="6"/>
                <c:pt idx="0">
                  <c:v>2000</c:v>
                </c:pt>
                <c:pt idx="1">
                  <c:v>2002</c:v>
                </c:pt>
                <c:pt idx="2">
                  <c:v>2004</c:v>
                </c:pt>
                <c:pt idx="3">
                  <c:v>2006</c:v>
                </c:pt>
                <c:pt idx="4">
                  <c:v>2008</c:v>
                </c:pt>
                <c:pt idx="5">
                  <c:v>2010</c:v>
                </c:pt>
              </c:numCache>
            </c:numRef>
          </c:cat>
          <c:val>
            <c:numRef>
              <c:f>Sheet1!$C$4:$H$4</c:f>
              <c:numCache>
                <c:formatCode>General</c:formatCode>
                <c:ptCount val="6"/>
                <c:pt idx="0">
                  <c:v>3.9</c:v>
                </c:pt>
                <c:pt idx="1">
                  <c:v>6</c:v>
                </c:pt>
                <c:pt idx="2">
                  <c:v>5.4</c:v>
                </c:pt>
                <c:pt idx="3">
                  <c:v>4.4000000000000004</c:v>
                </c:pt>
                <c:pt idx="4">
                  <c:v>7.3</c:v>
                </c:pt>
                <c:pt idx="5">
                  <c:v>9.3000000000000007</c:v>
                </c:pt>
              </c:numCache>
            </c:numRef>
          </c:val>
          <c:extLst>
            <c:ext xmlns:c16="http://schemas.microsoft.com/office/drawing/2014/chart" uri="{C3380CC4-5D6E-409C-BE32-E72D297353CC}">
              <c16:uniqueId val="{00000000-F5C3-4271-87CA-FF023E0B33EE}"/>
            </c:ext>
          </c:extLst>
        </c:ser>
        <c:ser>
          <c:idx val="1"/>
          <c:order val="1"/>
          <c:tx>
            <c:strRef>
              <c:f>Sheet1!$B$5</c:f>
              <c:strCache>
                <c:ptCount val="1"/>
                <c:pt idx="0">
                  <c:v>Inflation</c:v>
                </c:pt>
              </c:strCache>
            </c:strRef>
          </c:tx>
          <c:spPr>
            <a:solidFill>
              <a:schemeClr val="accent2"/>
            </a:solidFill>
            <a:ln>
              <a:noFill/>
            </a:ln>
            <a:effectLst/>
          </c:spPr>
          <c:invertIfNegative val="0"/>
          <c:cat>
            <c:numRef>
              <c:f>Sheet1!$C$3:$H$3</c:f>
              <c:numCache>
                <c:formatCode>General</c:formatCode>
                <c:ptCount val="6"/>
                <c:pt idx="0">
                  <c:v>2000</c:v>
                </c:pt>
                <c:pt idx="1">
                  <c:v>2002</c:v>
                </c:pt>
                <c:pt idx="2">
                  <c:v>2004</c:v>
                </c:pt>
                <c:pt idx="3">
                  <c:v>2006</c:v>
                </c:pt>
                <c:pt idx="4">
                  <c:v>2008</c:v>
                </c:pt>
                <c:pt idx="5">
                  <c:v>2010</c:v>
                </c:pt>
              </c:numCache>
            </c:numRef>
          </c:cat>
          <c:val>
            <c:numRef>
              <c:f>Sheet1!$C$5:$H$5</c:f>
              <c:numCache>
                <c:formatCode>General</c:formatCode>
                <c:ptCount val="6"/>
                <c:pt idx="0">
                  <c:v>3.4</c:v>
                </c:pt>
                <c:pt idx="1">
                  <c:v>2.4</c:v>
                </c:pt>
                <c:pt idx="2">
                  <c:v>3.3</c:v>
                </c:pt>
                <c:pt idx="3">
                  <c:v>2.5</c:v>
                </c:pt>
                <c:pt idx="4">
                  <c:v>0.1</c:v>
                </c:pt>
                <c:pt idx="5">
                  <c:v>1.5</c:v>
                </c:pt>
              </c:numCache>
            </c:numRef>
          </c:val>
          <c:extLst>
            <c:ext xmlns:c16="http://schemas.microsoft.com/office/drawing/2014/chart" uri="{C3380CC4-5D6E-409C-BE32-E72D297353CC}">
              <c16:uniqueId val="{00000001-F5C3-4271-87CA-FF023E0B33EE}"/>
            </c:ext>
          </c:extLst>
        </c:ser>
        <c:ser>
          <c:idx val="2"/>
          <c:order val="2"/>
          <c:tx>
            <c:strRef>
              <c:f>Sheet1!$B$6</c:f>
              <c:strCache>
                <c:ptCount val="1"/>
                <c:pt idx="0">
                  <c:v>GDP</c:v>
                </c:pt>
              </c:strCache>
            </c:strRef>
          </c:tx>
          <c:spPr>
            <a:solidFill>
              <a:schemeClr val="accent3"/>
            </a:solidFill>
            <a:ln>
              <a:noFill/>
            </a:ln>
            <a:effectLst/>
          </c:spPr>
          <c:invertIfNegative val="0"/>
          <c:cat>
            <c:numRef>
              <c:f>Sheet1!$C$3:$H$3</c:f>
              <c:numCache>
                <c:formatCode>General</c:formatCode>
                <c:ptCount val="6"/>
                <c:pt idx="0">
                  <c:v>2000</c:v>
                </c:pt>
                <c:pt idx="1">
                  <c:v>2002</c:v>
                </c:pt>
                <c:pt idx="2">
                  <c:v>2004</c:v>
                </c:pt>
                <c:pt idx="3">
                  <c:v>2006</c:v>
                </c:pt>
                <c:pt idx="4">
                  <c:v>2008</c:v>
                </c:pt>
                <c:pt idx="5">
                  <c:v>2010</c:v>
                </c:pt>
              </c:numCache>
            </c:numRef>
          </c:cat>
          <c:val>
            <c:numRef>
              <c:f>Sheet1!$C$6:$H$6</c:f>
              <c:numCache>
                <c:formatCode>General</c:formatCode>
                <c:ptCount val="6"/>
                <c:pt idx="0">
                  <c:v>4.0999999999999996</c:v>
                </c:pt>
                <c:pt idx="1">
                  <c:v>1.7</c:v>
                </c:pt>
                <c:pt idx="2">
                  <c:v>3.8</c:v>
                </c:pt>
                <c:pt idx="3">
                  <c:v>2.9</c:v>
                </c:pt>
                <c:pt idx="4">
                  <c:v>-0.1</c:v>
                </c:pt>
                <c:pt idx="5">
                  <c:v>2.6</c:v>
                </c:pt>
              </c:numCache>
            </c:numRef>
          </c:val>
          <c:extLst>
            <c:ext xmlns:c16="http://schemas.microsoft.com/office/drawing/2014/chart" uri="{C3380CC4-5D6E-409C-BE32-E72D297353CC}">
              <c16:uniqueId val="{00000002-F5C3-4271-87CA-FF023E0B33EE}"/>
            </c:ext>
          </c:extLst>
        </c:ser>
        <c:dLbls>
          <c:showLegendKey val="0"/>
          <c:showVal val="0"/>
          <c:showCatName val="0"/>
          <c:showSerName val="0"/>
          <c:showPercent val="0"/>
          <c:showBubbleSize val="0"/>
        </c:dLbls>
        <c:gapWidth val="219"/>
        <c:overlap val="-27"/>
        <c:axId val="139612496"/>
        <c:axId val="138987568"/>
      </c:barChart>
      <c:catAx>
        <c:axId val="139612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987568"/>
        <c:crosses val="autoZero"/>
        <c:auto val="1"/>
        <c:lblAlgn val="ctr"/>
        <c:lblOffset val="100"/>
        <c:noMultiLvlLbl val="0"/>
      </c:catAx>
      <c:valAx>
        <c:axId val="138987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12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Sheet1!$B$21</c:f>
              <c:strCache>
                <c:ptCount val="1"/>
                <c:pt idx="0">
                  <c:v>Average Wages</c:v>
                </c:pt>
              </c:strCache>
            </c:strRef>
          </c:tx>
          <c:spPr>
            <a:solidFill>
              <a:schemeClr val="accent1"/>
            </a:solidFill>
            <a:ln>
              <a:noFill/>
            </a:ln>
            <a:effectLst/>
          </c:spPr>
          <c:invertIfNegative val="0"/>
          <c:cat>
            <c:numRef>
              <c:f>Sheet1!$C$20:$H$20</c:f>
              <c:numCache>
                <c:formatCode>General</c:formatCode>
                <c:ptCount val="6"/>
                <c:pt idx="0">
                  <c:v>2005</c:v>
                </c:pt>
                <c:pt idx="1">
                  <c:v>2006</c:v>
                </c:pt>
                <c:pt idx="2">
                  <c:v>2007</c:v>
                </c:pt>
                <c:pt idx="3">
                  <c:v>2008</c:v>
                </c:pt>
                <c:pt idx="4">
                  <c:v>2009</c:v>
                </c:pt>
                <c:pt idx="5">
                  <c:v>2010</c:v>
                </c:pt>
              </c:numCache>
            </c:numRef>
          </c:cat>
          <c:val>
            <c:numRef>
              <c:f>Sheet1!$C$21:$H$21</c:f>
              <c:numCache>
                <c:formatCode>General</c:formatCode>
                <c:ptCount val="6"/>
                <c:pt idx="0">
                  <c:v>45364</c:v>
                </c:pt>
                <c:pt idx="1">
                  <c:v>47337</c:v>
                </c:pt>
                <c:pt idx="2">
                  <c:v>49505</c:v>
                </c:pt>
                <c:pt idx="3">
                  <c:v>50819</c:v>
                </c:pt>
                <c:pt idx="4">
                  <c:v>51182</c:v>
                </c:pt>
                <c:pt idx="5">
                  <c:v>52593</c:v>
                </c:pt>
              </c:numCache>
            </c:numRef>
          </c:val>
          <c:extLst>
            <c:ext xmlns:c16="http://schemas.microsoft.com/office/drawing/2014/chart" uri="{C3380CC4-5D6E-409C-BE32-E72D297353CC}">
              <c16:uniqueId val="{00000000-C2B7-4EB0-8BC9-DB931FF84171}"/>
            </c:ext>
          </c:extLst>
        </c:ser>
        <c:ser>
          <c:idx val="1"/>
          <c:order val="1"/>
          <c:tx>
            <c:strRef>
              <c:f>Sheet1!$B$22</c:f>
              <c:strCache>
                <c:ptCount val="1"/>
                <c:pt idx="0">
                  <c:v>GDP</c:v>
                </c:pt>
              </c:strCache>
            </c:strRef>
          </c:tx>
          <c:spPr>
            <a:solidFill>
              <a:schemeClr val="accent2"/>
            </a:solidFill>
            <a:ln>
              <a:noFill/>
            </a:ln>
            <a:effectLst/>
          </c:spPr>
          <c:invertIfNegative val="0"/>
          <c:cat>
            <c:numRef>
              <c:f>Sheet1!$C$20:$H$20</c:f>
              <c:numCache>
                <c:formatCode>General</c:formatCode>
                <c:ptCount val="6"/>
                <c:pt idx="0">
                  <c:v>2005</c:v>
                </c:pt>
                <c:pt idx="1">
                  <c:v>2006</c:v>
                </c:pt>
                <c:pt idx="2">
                  <c:v>2007</c:v>
                </c:pt>
                <c:pt idx="3">
                  <c:v>2008</c:v>
                </c:pt>
                <c:pt idx="4">
                  <c:v>2009</c:v>
                </c:pt>
                <c:pt idx="5">
                  <c:v>2010</c:v>
                </c:pt>
              </c:numCache>
            </c:numRef>
          </c:cat>
          <c:val>
            <c:numRef>
              <c:f>Sheet1!$C$22:$H$22</c:f>
              <c:numCache>
                <c:formatCode>General</c:formatCode>
                <c:ptCount val="6"/>
                <c:pt idx="0">
                  <c:v>13000</c:v>
                </c:pt>
                <c:pt idx="1">
                  <c:v>13500</c:v>
                </c:pt>
                <c:pt idx="2">
                  <c:v>14500</c:v>
                </c:pt>
                <c:pt idx="3">
                  <c:v>14700</c:v>
                </c:pt>
                <c:pt idx="4">
                  <c:v>14500</c:v>
                </c:pt>
                <c:pt idx="5">
                  <c:v>15000</c:v>
                </c:pt>
              </c:numCache>
            </c:numRef>
          </c:val>
          <c:extLst>
            <c:ext xmlns:c16="http://schemas.microsoft.com/office/drawing/2014/chart" uri="{C3380CC4-5D6E-409C-BE32-E72D297353CC}">
              <c16:uniqueId val="{00000001-C2B7-4EB0-8BC9-DB931FF84171}"/>
            </c:ext>
          </c:extLst>
        </c:ser>
        <c:dLbls>
          <c:showLegendKey val="0"/>
          <c:showVal val="0"/>
          <c:showCatName val="0"/>
          <c:showSerName val="0"/>
          <c:showPercent val="0"/>
          <c:showBubbleSize val="0"/>
        </c:dLbls>
        <c:gapWidth val="219"/>
        <c:overlap val="-27"/>
        <c:axId val="146219424"/>
        <c:axId val="138996720"/>
      </c:barChart>
      <c:catAx>
        <c:axId val="14621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996720"/>
        <c:crosses val="autoZero"/>
        <c:auto val="1"/>
        <c:lblAlgn val="ctr"/>
        <c:lblOffset val="100"/>
        <c:noMultiLvlLbl val="0"/>
      </c:catAx>
      <c:valAx>
        <c:axId val="138996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219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Healthcare Direct Accounts 2</dc:creator>
  <cp:keywords/>
  <dc:description/>
  <cp:lastModifiedBy>Elundria Austin</cp:lastModifiedBy>
  <cp:revision>3</cp:revision>
  <dcterms:created xsi:type="dcterms:W3CDTF">2020-02-10T12:20:00Z</dcterms:created>
  <dcterms:modified xsi:type="dcterms:W3CDTF">2020-02-16T13:13:00Z</dcterms:modified>
</cp:coreProperties>
</file>